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9FE7" w14:textId="4DCAF66A" w:rsidR="008B346B" w:rsidRDefault="006C1929" w:rsidP="005B30F1">
      <w:pPr>
        <w:spacing w:line="480" w:lineRule="auto"/>
        <w:jc w:val="center"/>
        <w:rPr>
          <w:rFonts w:ascii="Times New Roman" w:hAnsi="Times New Roman" w:cs="Times New Roman"/>
        </w:rPr>
      </w:pPr>
      <w:bookmarkStart w:id="0" w:name="_GoBack"/>
      <w:bookmarkEnd w:id="0"/>
      <w:r>
        <w:rPr>
          <w:rFonts w:ascii="Times New Roman" w:hAnsi="Times New Roman" w:cs="Times New Roman"/>
          <w:i/>
        </w:rPr>
        <w:t>The Mezzanine,</w:t>
      </w:r>
      <w:r w:rsidR="008B346B">
        <w:rPr>
          <w:rFonts w:ascii="Times New Roman" w:hAnsi="Times New Roman" w:cs="Times New Roman"/>
        </w:rPr>
        <w:t xml:space="preserve"> Baldly Encountered</w:t>
      </w:r>
    </w:p>
    <w:p w14:paraId="6535272E" w14:textId="377FB34E" w:rsidR="00676CC5" w:rsidRDefault="00F81AA5" w:rsidP="005B30F1">
      <w:pPr>
        <w:spacing w:line="480" w:lineRule="auto"/>
        <w:ind w:firstLine="720"/>
        <w:rPr>
          <w:rFonts w:ascii="Times New Roman" w:hAnsi="Times New Roman" w:cs="Times New Roman"/>
        </w:rPr>
      </w:pPr>
      <w:r>
        <w:rPr>
          <w:rFonts w:ascii="Times New Roman" w:hAnsi="Times New Roman" w:cs="Times New Roman"/>
        </w:rPr>
        <w:t xml:space="preserve">“Le </w:t>
      </w:r>
      <w:proofErr w:type="spellStart"/>
      <w:r>
        <w:rPr>
          <w:rFonts w:ascii="Times New Roman" w:hAnsi="Times New Roman" w:cs="Times New Roman"/>
        </w:rPr>
        <w:t>sujet</w:t>
      </w:r>
      <w:proofErr w:type="spellEnd"/>
      <w:r>
        <w:rPr>
          <w:rFonts w:ascii="Times New Roman" w:hAnsi="Times New Roman" w:cs="Times New Roman"/>
        </w:rPr>
        <w:t xml:space="preserve"> </w:t>
      </w:r>
      <w:proofErr w:type="spellStart"/>
      <w:r>
        <w:rPr>
          <w:rFonts w:ascii="Times New Roman" w:hAnsi="Times New Roman" w:cs="Times New Roman"/>
        </w:rPr>
        <w:t>naît</w:t>
      </w:r>
      <w:proofErr w:type="spellEnd"/>
      <w:r>
        <w:rPr>
          <w:rFonts w:ascii="Times New Roman" w:hAnsi="Times New Roman" w:cs="Times New Roman"/>
        </w:rPr>
        <w:t xml:space="preserve"> de </w:t>
      </w:r>
      <w:proofErr w:type="spellStart"/>
      <w:r>
        <w:rPr>
          <w:rFonts w:ascii="Times New Roman" w:hAnsi="Times New Roman" w:cs="Times New Roman"/>
        </w:rPr>
        <w:t>l’objet</w:t>
      </w:r>
      <w:proofErr w:type="spellEnd"/>
      <w:r>
        <w:rPr>
          <w:rFonts w:ascii="Times New Roman" w:hAnsi="Times New Roman" w:cs="Times New Roman"/>
        </w:rPr>
        <w:t xml:space="preserve">.” Bill Brown opens his essay on Thing Theory with this quote from Michel </w:t>
      </w:r>
      <w:proofErr w:type="spellStart"/>
      <w:r>
        <w:rPr>
          <w:rFonts w:ascii="Times New Roman" w:hAnsi="Times New Roman" w:cs="Times New Roman"/>
        </w:rPr>
        <w:t>Serres</w:t>
      </w:r>
      <w:proofErr w:type="spellEnd"/>
      <w:r>
        <w:rPr>
          <w:rFonts w:ascii="Times New Roman" w:hAnsi="Times New Roman" w:cs="Times New Roman"/>
        </w:rPr>
        <w:t xml:space="preserve">, which translated, is taken to mean simultaneously: </w:t>
      </w:r>
      <w:r w:rsidR="0061479C">
        <w:rPr>
          <w:rFonts w:ascii="Times New Roman" w:hAnsi="Times New Roman" w:cs="Times New Roman"/>
        </w:rPr>
        <w:t>“The subject creates the object” and “</w:t>
      </w:r>
      <w:r>
        <w:rPr>
          <w:rFonts w:ascii="Times New Roman" w:hAnsi="Times New Roman" w:cs="Times New Roman"/>
        </w:rPr>
        <w:t>the object creates the subject.”</w:t>
      </w:r>
      <w:r w:rsidR="009F0FCD">
        <w:rPr>
          <w:rFonts w:ascii="Times New Roman" w:hAnsi="Times New Roman" w:cs="Times New Roman"/>
        </w:rPr>
        <w:t xml:space="preserve"> In other words, he seeks to undo the historical binaries of Cartesian dualism, which states that humans impose meaning upon the objective world around them. Instead, Brown makes the claim that humans create the world,</w:t>
      </w:r>
      <w:r w:rsidR="009F0FCD">
        <w:rPr>
          <w:rFonts w:ascii="Times New Roman" w:hAnsi="Times New Roman" w:cs="Times New Roman"/>
          <w:i/>
        </w:rPr>
        <w:t xml:space="preserve"> and</w:t>
      </w:r>
      <w:r w:rsidR="009F0FCD">
        <w:rPr>
          <w:rFonts w:ascii="Times New Roman" w:hAnsi="Times New Roman" w:cs="Times New Roman"/>
        </w:rPr>
        <w:t xml:space="preserve"> the world creates humans. The pivotal question then becomes: </w:t>
      </w:r>
      <w:r w:rsidR="009F0FCD">
        <w:rPr>
          <w:rFonts w:ascii="Times New Roman" w:hAnsi="Times New Roman" w:cs="Times New Roman"/>
          <w:i/>
        </w:rPr>
        <w:t xml:space="preserve">how </w:t>
      </w:r>
      <w:r w:rsidR="009F0FCD">
        <w:rPr>
          <w:rFonts w:ascii="Times New Roman" w:hAnsi="Times New Roman" w:cs="Times New Roman"/>
        </w:rPr>
        <w:t xml:space="preserve">do we encounter the world, and how does it encounter us? </w:t>
      </w:r>
      <w:r w:rsidR="00D7234C">
        <w:rPr>
          <w:rFonts w:ascii="Times New Roman" w:hAnsi="Times New Roman" w:cs="Times New Roman"/>
        </w:rPr>
        <w:t xml:space="preserve">Thing Theory in part describes this object-subject relationship. </w:t>
      </w:r>
      <w:r w:rsidR="009F0FCD" w:rsidRPr="009F0FCD">
        <w:rPr>
          <w:rFonts w:ascii="Times New Roman" w:hAnsi="Times New Roman" w:cs="Times New Roman"/>
        </w:rPr>
        <w:t>A ‘thing’ is part of the process by which we come to encounter and understand objects</w:t>
      </w:r>
      <w:r w:rsidR="0061479C">
        <w:rPr>
          <w:rFonts w:ascii="Times New Roman" w:hAnsi="Times New Roman" w:cs="Times New Roman"/>
        </w:rPr>
        <w:t xml:space="preserve"> in our world</w:t>
      </w:r>
      <w:r w:rsidR="009F0FCD" w:rsidRPr="009F0FCD">
        <w:rPr>
          <w:rFonts w:ascii="Times New Roman" w:hAnsi="Times New Roman" w:cs="Times New Roman"/>
        </w:rPr>
        <w:t>, and how we award them both personal and societal meaning</w:t>
      </w:r>
      <w:r w:rsidR="00A90B75">
        <w:rPr>
          <w:rFonts w:ascii="Times New Roman" w:hAnsi="Times New Roman" w:cs="Times New Roman"/>
        </w:rPr>
        <w:t xml:space="preserve">. </w:t>
      </w:r>
      <w:commentRangeStart w:id="1"/>
      <w:r w:rsidR="008846AD">
        <w:rPr>
          <w:rFonts w:ascii="Times New Roman" w:hAnsi="Times New Roman" w:cs="Times New Roman"/>
        </w:rPr>
        <w:t>In</w:t>
      </w:r>
      <w:commentRangeEnd w:id="1"/>
      <w:r w:rsidR="0027626C">
        <w:rPr>
          <w:rStyle w:val="CommentReference"/>
        </w:rPr>
        <w:commentReference w:id="1"/>
      </w:r>
      <w:r w:rsidR="008846AD">
        <w:rPr>
          <w:rFonts w:ascii="Times New Roman" w:hAnsi="Times New Roman" w:cs="Times New Roman"/>
        </w:rPr>
        <w:t xml:space="preserve"> Nicholson Baker’s novel </w:t>
      </w:r>
      <w:r w:rsidR="008846AD">
        <w:rPr>
          <w:rFonts w:ascii="Times New Roman" w:hAnsi="Times New Roman" w:cs="Times New Roman"/>
          <w:i/>
        </w:rPr>
        <w:t>The Mezzanine,</w:t>
      </w:r>
      <w:r w:rsidR="008846AD">
        <w:rPr>
          <w:rFonts w:ascii="Times New Roman" w:hAnsi="Times New Roman" w:cs="Times New Roman"/>
        </w:rPr>
        <w:t xml:space="preserve"> narrator Howie exemplifies this relationship between </w:t>
      </w:r>
      <w:r w:rsidR="0061479C">
        <w:rPr>
          <w:rFonts w:ascii="Times New Roman" w:hAnsi="Times New Roman" w:cs="Times New Roman"/>
        </w:rPr>
        <w:t>objects</w:t>
      </w:r>
      <w:r w:rsidR="008846AD">
        <w:rPr>
          <w:rFonts w:ascii="Times New Roman" w:hAnsi="Times New Roman" w:cs="Times New Roman"/>
        </w:rPr>
        <w:t xml:space="preserve"> and the people who encounter them. The novel orbits around Howie’s examination of objects; they</w:t>
      </w:r>
      <w:r w:rsidR="008846AD" w:rsidRPr="008846AD">
        <w:rPr>
          <w:rFonts w:ascii="Times New Roman" w:hAnsi="Times New Roman" w:cs="Times New Roman"/>
        </w:rPr>
        <w:t xml:space="preserve"> have become instrumental in shaping his identity as he matures</w:t>
      </w:r>
      <w:r w:rsidR="008846AD">
        <w:rPr>
          <w:rFonts w:ascii="Times New Roman" w:hAnsi="Times New Roman" w:cs="Times New Roman"/>
        </w:rPr>
        <w:t>.</w:t>
      </w:r>
      <w:r w:rsidR="008846AD" w:rsidRPr="008846AD">
        <w:rPr>
          <w:rFonts w:ascii="Times New Roman" w:hAnsi="Times New Roman" w:cs="Times New Roman"/>
        </w:rPr>
        <w:t xml:space="preserve"> His examinations often lie outside objects’ practical uses</w:t>
      </w:r>
      <w:r w:rsidR="00EC7DEA">
        <w:rPr>
          <w:rFonts w:ascii="Times New Roman" w:hAnsi="Times New Roman" w:cs="Times New Roman"/>
        </w:rPr>
        <w:t>,</w:t>
      </w:r>
      <w:r w:rsidR="008846AD">
        <w:rPr>
          <w:rFonts w:ascii="Times New Roman" w:hAnsi="Times New Roman" w:cs="Times New Roman"/>
        </w:rPr>
        <w:t xml:space="preserve"> as he looks </w:t>
      </w:r>
      <w:r w:rsidR="008846AD">
        <w:rPr>
          <w:rFonts w:ascii="Times New Roman" w:hAnsi="Times New Roman" w:cs="Times New Roman"/>
          <w:i/>
        </w:rPr>
        <w:t xml:space="preserve">at </w:t>
      </w:r>
      <w:r w:rsidR="008846AD">
        <w:rPr>
          <w:rFonts w:ascii="Times New Roman" w:hAnsi="Times New Roman" w:cs="Times New Roman"/>
        </w:rPr>
        <w:t xml:space="preserve">them in </w:t>
      </w:r>
      <w:r w:rsidR="00EC7DEA">
        <w:rPr>
          <w:rFonts w:ascii="Times New Roman" w:hAnsi="Times New Roman" w:cs="Times New Roman"/>
        </w:rPr>
        <w:t>their physical form,</w:t>
      </w:r>
      <w:r w:rsidR="00C21BD5">
        <w:rPr>
          <w:rFonts w:ascii="Times New Roman" w:hAnsi="Times New Roman" w:cs="Times New Roman"/>
        </w:rPr>
        <w:t xml:space="preserve"> and </w:t>
      </w:r>
      <w:r w:rsidR="00C21BD5">
        <w:rPr>
          <w:rFonts w:ascii="Times New Roman" w:hAnsi="Times New Roman" w:cs="Times New Roman"/>
          <w:i/>
        </w:rPr>
        <w:t>through</w:t>
      </w:r>
      <w:r w:rsidR="00C21BD5">
        <w:rPr>
          <w:rFonts w:ascii="Times New Roman" w:hAnsi="Times New Roman" w:cs="Times New Roman"/>
        </w:rPr>
        <w:t xml:space="preserve"> them, towards the heart of their essence. </w:t>
      </w:r>
      <w:r w:rsidR="00C44B3E">
        <w:rPr>
          <w:rFonts w:ascii="Times New Roman" w:hAnsi="Times New Roman" w:cs="Times New Roman"/>
        </w:rPr>
        <w:t xml:space="preserve">Howie latches onto objects as constants in a world full of change, but must ultimately confront the fact that the objects around him are changing as much as he is as he grows and matures. </w:t>
      </w:r>
      <w:r w:rsidR="00C21BD5">
        <w:rPr>
          <w:rFonts w:ascii="Times New Roman" w:hAnsi="Times New Roman" w:cs="Times New Roman"/>
        </w:rPr>
        <w:t>Bill Brown’s three main as</w:t>
      </w:r>
      <w:r w:rsidR="00D0752C">
        <w:rPr>
          <w:rFonts w:ascii="Times New Roman" w:hAnsi="Times New Roman" w:cs="Times New Roman"/>
        </w:rPr>
        <w:t xml:space="preserve">pects of Thing Theory – </w:t>
      </w:r>
      <w:r w:rsidR="00C21BD5">
        <w:rPr>
          <w:rFonts w:ascii="Times New Roman" w:hAnsi="Times New Roman" w:cs="Times New Roman"/>
        </w:rPr>
        <w:t>mate</w:t>
      </w:r>
      <w:r w:rsidR="00D0752C">
        <w:rPr>
          <w:rFonts w:ascii="Times New Roman" w:hAnsi="Times New Roman" w:cs="Times New Roman"/>
        </w:rPr>
        <w:t>riality, liminality, and excess –</w:t>
      </w:r>
      <w:r w:rsidR="00C21BD5">
        <w:rPr>
          <w:rFonts w:ascii="Times New Roman" w:hAnsi="Times New Roman" w:cs="Times New Roman"/>
        </w:rPr>
        <w:t xml:space="preserve"> </w:t>
      </w:r>
      <w:r w:rsidR="00C21BD5" w:rsidRPr="001366CF">
        <w:rPr>
          <w:rFonts w:ascii="Times New Roman" w:hAnsi="Times New Roman" w:cs="Times New Roman"/>
        </w:rPr>
        <w:t>can be used to examine Howie’s relationship with objects</w:t>
      </w:r>
      <w:r w:rsidR="00C44B3E">
        <w:rPr>
          <w:rFonts w:ascii="Times New Roman" w:hAnsi="Times New Roman" w:cs="Times New Roman"/>
        </w:rPr>
        <w:t>, specifically the mezzanine’s escalator,</w:t>
      </w:r>
      <w:r w:rsidR="00C21BD5" w:rsidRPr="001366CF">
        <w:rPr>
          <w:rFonts w:ascii="Times New Roman" w:hAnsi="Times New Roman" w:cs="Times New Roman"/>
        </w:rPr>
        <w:t xml:space="preserve"> throughout the </w:t>
      </w:r>
      <w:commentRangeStart w:id="2"/>
      <w:r w:rsidR="00C21BD5" w:rsidRPr="001366CF">
        <w:rPr>
          <w:rFonts w:ascii="Times New Roman" w:hAnsi="Times New Roman" w:cs="Times New Roman"/>
        </w:rPr>
        <w:t>novel</w:t>
      </w:r>
      <w:commentRangeEnd w:id="2"/>
      <w:r w:rsidR="0027626C">
        <w:rPr>
          <w:rStyle w:val="CommentReference"/>
        </w:rPr>
        <w:commentReference w:id="2"/>
      </w:r>
      <w:r w:rsidR="00C21BD5">
        <w:rPr>
          <w:rFonts w:ascii="Times New Roman" w:hAnsi="Times New Roman" w:cs="Times New Roman"/>
        </w:rPr>
        <w:t>.</w:t>
      </w:r>
    </w:p>
    <w:p w14:paraId="4E2F8211" w14:textId="30AD3C6D" w:rsidR="00276E08" w:rsidRDefault="00595680" w:rsidP="00E54816">
      <w:pPr>
        <w:spacing w:line="480" w:lineRule="auto"/>
        <w:ind w:firstLine="720"/>
        <w:rPr>
          <w:rFonts w:ascii="Times New Roman" w:hAnsi="Times New Roman" w:cs="Times New Roman"/>
        </w:rPr>
      </w:pPr>
      <w:r>
        <w:rPr>
          <w:rFonts w:ascii="Times New Roman" w:hAnsi="Times New Roman" w:cs="Times New Roman"/>
        </w:rPr>
        <w:t>Brown’s first aspect of Thing Theory, materiality, addresses objects in their physical forms. This construct suggests that “we begin to encounter the thingness of objects when they stop working for us: when the drill breaks, when the car stalls…” (Brown 4).</w:t>
      </w:r>
      <w:r w:rsidR="004B6D12">
        <w:rPr>
          <w:rFonts w:ascii="Times New Roman" w:hAnsi="Times New Roman" w:cs="Times New Roman"/>
        </w:rPr>
        <w:t xml:space="preserve"> When objects stop working, our relationship with them is altered. </w:t>
      </w:r>
      <w:r w:rsidR="00C44B3E">
        <w:rPr>
          <w:rFonts w:ascii="Times New Roman" w:hAnsi="Times New Roman" w:cs="Times New Roman"/>
        </w:rPr>
        <w:t xml:space="preserve">Though the escalator to the mezzanine never </w:t>
      </w:r>
      <w:r w:rsidR="00C44B3E">
        <w:rPr>
          <w:rFonts w:ascii="Times New Roman" w:hAnsi="Times New Roman" w:cs="Times New Roman"/>
        </w:rPr>
        <w:lastRenderedPageBreak/>
        <w:t xml:space="preserve">completely stops working within the novel, there are several instances that cause Howie to contemplate its ‘thingness.’ Howie first describes the material nature of </w:t>
      </w:r>
      <w:r w:rsidR="005D2244">
        <w:rPr>
          <w:rFonts w:ascii="Times New Roman" w:hAnsi="Times New Roman" w:cs="Times New Roman"/>
        </w:rPr>
        <w:t xml:space="preserve">the escalator after observing a maintenance worker cleaning its mechanisms: “This guy probably knew every landmark of that rubber handrail as it circled around – the chip in it where it looked as if someone had tried vandalizing it with a knife, and the section where it warped outward, and the fusion scar where the two ends had been spliced together to form a loop” (Baker 63). </w:t>
      </w:r>
      <w:commentRangeStart w:id="3"/>
      <w:r w:rsidR="00930D49">
        <w:rPr>
          <w:rFonts w:ascii="Times New Roman" w:hAnsi="Times New Roman" w:cs="Times New Roman"/>
        </w:rPr>
        <w:t>The</w:t>
      </w:r>
      <w:commentRangeEnd w:id="3"/>
      <w:r w:rsidR="0027626C">
        <w:rPr>
          <w:rStyle w:val="CommentReference"/>
        </w:rPr>
        <w:commentReference w:id="3"/>
      </w:r>
      <w:r w:rsidR="00930D49">
        <w:rPr>
          <w:rFonts w:ascii="Times New Roman" w:hAnsi="Times New Roman" w:cs="Times New Roman"/>
        </w:rPr>
        <w:t xml:space="preserve"> need for cleaning places the escalator in an imperfect state that must be remedied. In watching its cleaning, Howie </w:t>
      </w:r>
      <w:r w:rsidR="005635D4">
        <w:rPr>
          <w:rFonts w:ascii="Times New Roman" w:hAnsi="Times New Roman" w:cs="Times New Roman"/>
        </w:rPr>
        <w:t>notices</w:t>
      </w:r>
      <w:r w:rsidR="00930D49">
        <w:rPr>
          <w:rFonts w:ascii="Times New Roman" w:hAnsi="Times New Roman" w:cs="Times New Roman"/>
        </w:rPr>
        <w:t xml:space="preserve"> its status as a material object, a stark, physical presence in his life, </w:t>
      </w:r>
      <w:r w:rsidR="00972A15">
        <w:rPr>
          <w:rFonts w:ascii="Times New Roman" w:hAnsi="Times New Roman" w:cs="Times New Roman"/>
        </w:rPr>
        <w:t>suddenly visible and distinct from the</w:t>
      </w:r>
      <w:r w:rsidR="00930D49">
        <w:rPr>
          <w:rFonts w:ascii="Times New Roman" w:hAnsi="Times New Roman" w:cs="Times New Roman"/>
        </w:rPr>
        <w:t xml:space="preserve"> use it provides</w:t>
      </w:r>
      <w:r w:rsidR="00205DAA">
        <w:rPr>
          <w:rFonts w:ascii="Times New Roman" w:hAnsi="Times New Roman" w:cs="Times New Roman"/>
        </w:rPr>
        <w:t>, as evidenced by his detailed descriptions of the escalator’s minutiae</w:t>
      </w:r>
      <w:r w:rsidR="00930D49">
        <w:rPr>
          <w:rFonts w:ascii="Times New Roman" w:hAnsi="Times New Roman" w:cs="Times New Roman"/>
        </w:rPr>
        <w:t xml:space="preserve">. </w:t>
      </w:r>
      <w:r w:rsidR="00C07429">
        <w:rPr>
          <w:rFonts w:ascii="Times New Roman" w:hAnsi="Times New Roman" w:cs="Times New Roman"/>
        </w:rPr>
        <w:t xml:space="preserve">He even references his own materiality here, purposefully taking the handrail that had </w:t>
      </w:r>
      <w:r w:rsidR="00C07429">
        <w:rPr>
          <w:rFonts w:ascii="Times New Roman" w:hAnsi="Times New Roman" w:cs="Times New Roman"/>
          <w:i/>
        </w:rPr>
        <w:t xml:space="preserve">not </w:t>
      </w:r>
      <w:r w:rsidR="00E54816">
        <w:rPr>
          <w:rFonts w:ascii="Times New Roman" w:hAnsi="Times New Roman" w:cs="Times New Roman"/>
        </w:rPr>
        <w:t>just been polished, not wishing to “(heighten) the always nearby sense of futility of building maintenance” (Baker 63-</w:t>
      </w:r>
      <w:commentRangeStart w:id="4"/>
      <w:r w:rsidR="00E54816">
        <w:rPr>
          <w:rFonts w:ascii="Times New Roman" w:hAnsi="Times New Roman" w:cs="Times New Roman"/>
        </w:rPr>
        <w:t>64</w:t>
      </w:r>
      <w:commentRangeEnd w:id="4"/>
      <w:r w:rsidR="0027626C">
        <w:rPr>
          <w:rStyle w:val="CommentReference"/>
        </w:rPr>
        <w:commentReference w:id="4"/>
      </w:r>
      <w:r w:rsidR="00E54816">
        <w:rPr>
          <w:rFonts w:ascii="Times New Roman" w:hAnsi="Times New Roman" w:cs="Times New Roman"/>
        </w:rPr>
        <w:t xml:space="preserve">). Howie’s encounter with the escalator highlights how he affects the objects around him – and how they have affected him in turn. </w:t>
      </w:r>
      <w:r w:rsidR="003E3FC7">
        <w:rPr>
          <w:rFonts w:ascii="Times New Roman" w:hAnsi="Times New Roman" w:cs="Times New Roman"/>
        </w:rPr>
        <w:t xml:space="preserve">Howie is then prompted to consider previous times in his life when he has noted an escalator’s materiality, such as in his youth after his mother doubted their safety: “And escalators </w:t>
      </w:r>
      <w:r w:rsidR="003E3FC7">
        <w:rPr>
          <w:rFonts w:ascii="Times New Roman" w:hAnsi="Times New Roman" w:cs="Times New Roman"/>
          <w:i/>
        </w:rPr>
        <w:t xml:space="preserve">are </w:t>
      </w:r>
      <w:r w:rsidR="003E3FC7">
        <w:rPr>
          <w:rFonts w:ascii="Times New Roman" w:hAnsi="Times New Roman" w:cs="Times New Roman"/>
        </w:rPr>
        <w:t xml:space="preserve">safe: their safety the result (I now believe) of a brilliant decision to groove the surfaces of the stairway so that they mesh perfectly with the teeth of the metal </w:t>
      </w:r>
      <w:proofErr w:type="spellStart"/>
      <w:r w:rsidR="003E3FC7">
        <w:rPr>
          <w:rFonts w:ascii="Times New Roman" w:hAnsi="Times New Roman" w:cs="Times New Roman"/>
        </w:rPr>
        <w:t>comblike</w:t>
      </w:r>
      <w:proofErr w:type="spellEnd"/>
      <w:r w:rsidR="003E3FC7">
        <w:rPr>
          <w:rFonts w:ascii="Times New Roman" w:hAnsi="Times New Roman" w:cs="Times New Roman"/>
        </w:rPr>
        <w:t xml:space="preserve"> plates at the top and bottom</w:t>
      </w:r>
      <w:r w:rsidR="006F0370">
        <w:rPr>
          <w:rFonts w:ascii="Times New Roman" w:hAnsi="Times New Roman" w:cs="Times New Roman"/>
        </w:rPr>
        <w:t>, making it impossible for stray objects, such as coins and shoelace-ends, to get caught in the gap between the moving steps and the fixed floor</w:t>
      </w:r>
      <w:r w:rsidR="003E3FC7">
        <w:rPr>
          <w:rFonts w:ascii="Times New Roman" w:hAnsi="Times New Roman" w:cs="Times New Roman"/>
        </w:rPr>
        <w:t xml:space="preserve">” (Baker 65). </w:t>
      </w:r>
      <w:r w:rsidR="00A006F3">
        <w:rPr>
          <w:rFonts w:ascii="Times New Roman" w:hAnsi="Times New Roman" w:cs="Times New Roman"/>
        </w:rPr>
        <w:t xml:space="preserve">The attention to the detailed construction of the escalator here demonstrates Howie’s </w:t>
      </w:r>
      <w:r w:rsidR="00A006F3" w:rsidRPr="00A006F3">
        <w:rPr>
          <w:rFonts w:ascii="Times New Roman" w:hAnsi="Times New Roman" w:cs="Times New Roman"/>
        </w:rPr>
        <w:t>awareness</w:t>
      </w:r>
      <w:r w:rsidR="00A006F3">
        <w:rPr>
          <w:rFonts w:ascii="Times New Roman" w:hAnsi="Times New Roman" w:cs="Times New Roman"/>
        </w:rPr>
        <w:t xml:space="preserve"> </w:t>
      </w:r>
      <w:r w:rsidR="006F0E2A">
        <w:rPr>
          <w:rFonts w:ascii="Times New Roman" w:hAnsi="Times New Roman" w:cs="Times New Roman"/>
        </w:rPr>
        <w:t xml:space="preserve">and appreciation </w:t>
      </w:r>
      <w:r w:rsidR="00A006F3">
        <w:rPr>
          <w:rFonts w:ascii="Times New Roman" w:hAnsi="Times New Roman" w:cs="Times New Roman"/>
        </w:rPr>
        <w:t xml:space="preserve">of their physical form </w:t>
      </w:r>
      <w:r w:rsidR="006F0370">
        <w:rPr>
          <w:rFonts w:ascii="Times New Roman" w:hAnsi="Times New Roman" w:cs="Times New Roman"/>
        </w:rPr>
        <w:t xml:space="preserve">Not only does </w:t>
      </w:r>
      <w:r w:rsidR="00476475">
        <w:rPr>
          <w:rFonts w:ascii="Times New Roman" w:hAnsi="Times New Roman" w:cs="Times New Roman"/>
        </w:rPr>
        <w:t xml:space="preserve">this observation </w:t>
      </w:r>
      <w:r w:rsidR="00923430">
        <w:rPr>
          <w:rFonts w:ascii="Times New Roman" w:hAnsi="Times New Roman" w:cs="Times New Roman"/>
        </w:rPr>
        <w:t>reference</w:t>
      </w:r>
      <w:r w:rsidR="00476475">
        <w:rPr>
          <w:rFonts w:ascii="Times New Roman" w:hAnsi="Times New Roman" w:cs="Times New Roman"/>
        </w:rPr>
        <w:t xml:space="preserve"> another prominent </w:t>
      </w:r>
      <w:r w:rsidR="001218B8">
        <w:rPr>
          <w:rFonts w:ascii="Times New Roman" w:hAnsi="Times New Roman" w:cs="Times New Roman"/>
        </w:rPr>
        <w:t>object</w:t>
      </w:r>
      <w:r w:rsidR="00476475">
        <w:rPr>
          <w:rFonts w:ascii="Times New Roman" w:hAnsi="Times New Roman" w:cs="Times New Roman"/>
        </w:rPr>
        <w:t xml:space="preserve"> of materiality within the novel, Howie’s broken shoelaces, </w:t>
      </w:r>
      <w:r w:rsidR="00923430">
        <w:rPr>
          <w:rFonts w:ascii="Times New Roman" w:hAnsi="Times New Roman" w:cs="Times New Roman"/>
        </w:rPr>
        <w:t xml:space="preserve">it also </w:t>
      </w:r>
      <w:r w:rsidR="00A122FE">
        <w:rPr>
          <w:rFonts w:ascii="Times New Roman" w:hAnsi="Times New Roman" w:cs="Times New Roman"/>
        </w:rPr>
        <w:t>shows how</w:t>
      </w:r>
      <w:r w:rsidR="00923430">
        <w:rPr>
          <w:rFonts w:ascii="Times New Roman" w:hAnsi="Times New Roman" w:cs="Times New Roman"/>
        </w:rPr>
        <w:t xml:space="preserve"> Howie’s</w:t>
      </w:r>
      <w:r w:rsidR="00192788">
        <w:rPr>
          <w:rFonts w:ascii="Times New Roman" w:hAnsi="Times New Roman" w:cs="Times New Roman"/>
        </w:rPr>
        <w:t xml:space="preserve"> experience with the escalator’s material nature forges connections between his pas</w:t>
      </w:r>
      <w:r w:rsidR="003E24C7">
        <w:rPr>
          <w:rFonts w:ascii="Times New Roman" w:hAnsi="Times New Roman" w:cs="Times New Roman"/>
        </w:rPr>
        <w:t>t and present.</w:t>
      </w:r>
      <w:r w:rsidR="007255B9">
        <w:rPr>
          <w:rFonts w:ascii="Times New Roman" w:hAnsi="Times New Roman" w:cs="Times New Roman"/>
        </w:rPr>
        <w:t xml:space="preserve"> </w:t>
      </w:r>
      <w:r w:rsidR="009A61D0">
        <w:rPr>
          <w:rFonts w:ascii="Times New Roman" w:hAnsi="Times New Roman" w:cs="Times New Roman"/>
        </w:rPr>
        <w:t xml:space="preserve">As an object that appears within multiple </w:t>
      </w:r>
      <w:r w:rsidR="009A61D0">
        <w:rPr>
          <w:rFonts w:ascii="Times New Roman" w:hAnsi="Times New Roman" w:cs="Times New Roman"/>
        </w:rPr>
        <w:lastRenderedPageBreak/>
        <w:t>stages of his life, the escalator becomes symbolic of Howie’s maturation. Just as Howie becomes aware of the escalator’s material state and flaws, so too do readers encounter Howie’s growth as he journeys</w:t>
      </w:r>
      <w:r w:rsidR="00A478A1">
        <w:rPr>
          <w:rFonts w:ascii="Times New Roman" w:hAnsi="Times New Roman" w:cs="Times New Roman"/>
        </w:rPr>
        <w:t xml:space="preserve"> via escalator</w:t>
      </w:r>
      <w:r w:rsidR="009A61D0">
        <w:rPr>
          <w:rFonts w:ascii="Times New Roman" w:hAnsi="Times New Roman" w:cs="Times New Roman"/>
        </w:rPr>
        <w:t xml:space="preserve"> towards the mezzanine.</w:t>
      </w:r>
      <w:r w:rsidR="00A478A1">
        <w:rPr>
          <w:rFonts w:ascii="Times New Roman" w:hAnsi="Times New Roman" w:cs="Times New Roman"/>
        </w:rPr>
        <w:t xml:space="preserve"> </w:t>
      </w:r>
      <w:r w:rsidR="001218B8">
        <w:rPr>
          <w:rFonts w:ascii="Times New Roman" w:hAnsi="Times New Roman" w:cs="Times New Roman"/>
        </w:rPr>
        <w:t xml:space="preserve">Howie’s </w:t>
      </w:r>
      <w:r w:rsidR="002713C3">
        <w:rPr>
          <w:rFonts w:ascii="Times New Roman" w:hAnsi="Times New Roman" w:cs="Times New Roman"/>
        </w:rPr>
        <w:t xml:space="preserve">obsession with his escalator ride </w:t>
      </w:r>
      <w:r w:rsidR="00924DAB">
        <w:rPr>
          <w:rFonts w:ascii="Times New Roman" w:hAnsi="Times New Roman" w:cs="Times New Roman"/>
        </w:rPr>
        <w:t>indicates the significance of the current transitional stage of his life as he navigates</w:t>
      </w:r>
      <w:r w:rsidR="002713C3">
        <w:rPr>
          <w:rFonts w:ascii="Times New Roman" w:hAnsi="Times New Roman" w:cs="Times New Roman"/>
        </w:rPr>
        <w:t xml:space="preserve"> </w:t>
      </w:r>
      <w:r w:rsidR="00924DAB">
        <w:rPr>
          <w:rFonts w:ascii="Times New Roman" w:hAnsi="Times New Roman" w:cs="Times New Roman"/>
        </w:rPr>
        <w:t>his own past, present, and identity.</w:t>
      </w:r>
      <w:r w:rsidR="002713C3">
        <w:rPr>
          <w:rFonts w:ascii="Times New Roman" w:hAnsi="Times New Roman" w:cs="Times New Roman"/>
        </w:rPr>
        <w:t xml:space="preserve"> </w:t>
      </w:r>
      <w:r w:rsidR="00A478A1">
        <w:rPr>
          <w:rFonts w:ascii="Times New Roman" w:hAnsi="Times New Roman" w:cs="Times New Roman"/>
        </w:rPr>
        <w:t xml:space="preserve">The </w:t>
      </w:r>
      <w:r w:rsidR="00924DAB">
        <w:rPr>
          <w:rFonts w:ascii="Times New Roman" w:hAnsi="Times New Roman" w:cs="Times New Roman"/>
        </w:rPr>
        <w:t>importance</w:t>
      </w:r>
      <w:r w:rsidR="00A478A1">
        <w:rPr>
          <w:rFonts w:ascii="Times New Roman" w:hAnsi="Times New Roman" w:cs="Times New Roman"/>
        </w:rPr>
        <w:t xml:space="preserve"> of the escalator thus exists not only in its material form. </w:t>
      </w:r>
      <w:r w:rsidR="00192788">
        <w:rPr>
          <w:rFonts w:ascii="Times New Roman" w:hAnsi="Times New Roman" w:cs="Times New Roman"/>
        </w:rPr>
        <w:t xml:space="preserve">To contemplate this, we now turn to Brown’s second aspect of Thing </w:t>
      </w:r>
      <w:commentRangeStart w:id="5"/>
      <w:r w:rsidR="00192788">
        <w:rPr>
          <w:rFonts w:ascii="Times New Roman" w:hAnsi="Times New Roman" w:cs="Times New Roman"/>
        </w:rPr>
        <w:t>Theory</w:t>
      </w:r>
      <w:commentRangeEnd w:id="5"/>
      <w:r w:rsidR="0027626C">
        <w:rPr>
          <w:rStyle w:val="CommentReference"/>
        </w:rPr>
        <w:commentReference w:id="5"/>
      </w:r>
      <w:r w:rsidR="00192788">
        <w:rPr>
          <w:rFonts w:ascii="Times New Roman" w:hAnsi="Times New Roman" w:cs="Times New Roman"/>
        </w:rPr>
        <w:t>.</w:t>
      </w:r>
    </w:p>
    <w:p w14:paraId="051958DD" w14:textId="685647EC" w:rsidR="00E01F84" w:rsidRDefault="00786776" w:rsidP="00FC2EB6">
      <w:pPr>
        <w:spacing w:line="480" w:lineRule="auto"/>
        <w:ind w:firstLine="720"/>
        <w:rPr>
          <w:rFonts w:ascii="Times New Roman" w:hAnsi="Times New Roman" w:cs="Times New Roman"/>
        </w:rPr>
      </w:pPr>
      <w:r>
        <w:rPr>
          <w:rFonts w:ascii="Times New Roman" w:hAnsi="Times New Roman" w:cs="Times New Roman"/>
        </w:rPr>
        <w:t xml:space="preserve">Liminality is the </w:t>
      </w:r>
      <w:r w:rsidR="00F73AB9">
        <w:rPr>
          <w:rFonts w:ascii="Times New Roman" w:hAnsi="Times New Roman" w:cs="Times New Roman"/>
        </w:rPr>
        <w:t>second notion of thingness: the</w:t>
      </w:r>
      <w:r w:rsidR="00F73AB9" w:rsidRPr="00F73AB9">
        <w:rPr>
          <w:rFonts w:ascii="Times New Roman" w:hAnsi="Times New Roman" w:cs="Times New Roman"/>
        </w:rPr>
        <w:t xml:space="preserve"> place between the nameable and </w:t>
      </w:r>
      <w:proofErr w:type="spellStart"/>
      <w:r w:rsidR="00F73AB9" w:rsidRPr="00F73AB9">
        <w:rPr>
          <w:rFonts w:ascii="Times New Roman" w:hAnsi="Times New Roman" w:cs="Times New Roman"/>
        </w:rPr>
        <w:t>unnameable</w:t>
      </w:r>
      <w:proofErr w:type="spellEnd"/>
      <w:r w:rsidR="00F73AB9" w:rsidRPr="00F73AB9">
        <w:rPr>
          <w:rFonts w:ascii="Times New Roman" w:hAnsi="Times New Roman" w:cs="Times New Roman"/>
        </w:rPr>
        <w:t xml:space="preserve">, </w:t>
      </w:r>
      <w:r w:rsidR="00F73AB9">
        <w:rPr>
          <w:rFonts w:ascii="Times New Roman" w:hAnsi="Times New Roman" w:cs="Times New Roman"/>
        </w:rPr>
        <w:t>the way</w:t>
      </w:r>
      <w:r w:rsidR="00F73AB9" w:rsidRPr="00F73AB9">
        <w:rPr>
          <w:rFonts w:ascii="Times New Roman" w:hAnsi="Times New Roman" w:cs="Times New Roman"/>
        </w:rPr>
        <w:t xml:space="preserve"> some things elude meaningful categorization</w:t>
      </w:r>
      <w:r w:rsidR="00F73AB9">
        <w:rPr>
          <w:rFonts w:ascii="Times New Roman" w:hAnsi="Times New Roman" w:cs="Times New Roman"/>
        </w:rPr>
        <w:t xml:space="preserve">. Bill Brown summarizes this as: </w:t>
      </w:r>
      <w:r w:rsidR="00F73AB9" w:rsidRPr="00F73AB9">
        <w:rPr>
          <w:rFonts w:ascii="Times New Roman" w:hAnsi="Times New Roman" w:cs="Times New Roman"/>
        </w:rPr>
        <w:t>“On the one hand then, the thing baldly encountered. On the other, some thing not quite apprehended” (Brown 5).</w:t>
      </w:r>
      <w:r w:rsidR="00AB6D98">
        <w:rPr>
          <w:rFonts w:ascii="Times New Roman" w:hAnsi="Times New Roman" w:cs="Times New Roman"/>
        </w:rPr>
        <w:t xml:space="preserve"> </w:t>
      </w:r>
      <w:r w:rsidR="00A02E40">
        <w:rPr>
          <w:rFonts w:ascii="Times New Roman" w:hAnsi="Times New Roman" w:cs="Times New Roman"/>
        </w:rPr>
        <w:t xml:space="preserve">In other words, </w:t>
      </w:r>
      <w:r w:rsidR="00351F55">
        <w:rPr>
          <w:rFonts w:ascii="Times New Roman" w:hAnsi="Times New Roman" w:cs="Times New Roman"/>
        </w:rPr>
        <w:t xml:space="preserve">objects are imbued with the ‘magic of presence.’ </w:t>
      </w:r>
      <w:r w:rsidR="007255B9">
        <w:rPr>
          <w:rFonts w:ascii="Times New Roman" w:hAnsi="Times New Roman" w:cs="Times New Roman"/>
        </w:rPr>
        <w:t>For instance:</w:t>
      </w:r>
      <w:r w:rsidR="00AB39E4">
        <w:rPr>
          <w:rFonts w:ascii="Times New Roman" w:hAnsi="Times New Roman" w:cs="Times New Roman"/>
        </w:rPr>
        <w:t xml:space="preserve"> a chair is easy to identify as a material object. Yet many different chairs, made from many different materials, can still be identified as ‘chair,’ through some intangible quality, a ‘chair-ness’ about them. Objects</w:t>
      </w:r>
      <w:r w:rsidR="00970C6E">
        <w:rPr>
          <w:rFonts w:ascii="Times New Roman" w:hAnsi="Times New Roman" w:cs="Times New Roman"/>
        </w:rPr>
        <w:t xml:space="preserve"> exist as what they are</w:t>
      </w:r>
      <w:r w:rsidR="00131A0C">
        <w:rPr>
          <w:rFonts w:ascii="Times New Roman" w:hAnsi="Times New Roman" w:cs="Times New Roman"/>
        </w:rPr>
        <w:t>:</w:t>
      </w:r>
      <w:r w:rsidR="00AB39E4">
        <w:rPr>
          <w:rFonts w:ascii="Times New Roman" w:hAnsi="Times New Roman" w:cs="Times New Roman"/>
        </w:rPr>
        <w:t xml:space="preserve"> physically, plainly, baldly. </w:t>
      </w:r>
      <w:r w:rsidR="00131A0C">
        <w:rPr>
          <w:rFonts w:ascii="Times New Roman" w:hAnsi="Times New Roman" w:cs="Times New Roman"/>
        </w:rPr>
        <w:t>Simultaneously, o</w:t>
      </w:r>
      <w:r w:rsidR="005F1CD6">
        <w:rPr>
          <w:rFonts w:ascii="Times New Roman" w:hAnsi="Times New Roman" w:cs="Times New Roman"/>
        </w:rPr>
        <w:t>bjects</w:t>
      </w:r>
      <w:r w:rsidR="00970C6E">
        <w:rPr>
          <w:rFonts w:ascii="Times New Roman" w:hAnsi="Times New Roman" w:cs="Times New Roman"/>
        </w:rPr>
        <w:t xml:space="preserve"> possess a ‘magic’ </w:t>
      </w:r>
      <w:r w:rsidR="005F1CD6">
        <w:rPr>
          <w:rFonts w:ascii="Times New Roman" w:hAnsi="Times New Roman" w:cs="Times New Roman"/>
        </w:rPr>
        <w:t>that transcends them to ‘thingness’</w:t>
      </w:r>
      <w:r w:rsidR="002D5A35">
        <w:rPr>
          <w:rFonts w:ascii="Times New Roman" w:hAnsi="Times New Roman" w:cs="Times New Roman"/>
        </w:rPr>
        <w:t xml:space="preserve"> – an</w:t>
      </w:r>
      <w:r w:rsidR="005F1CD6">
        <w:rPr>
          <w:rFonts w:ascii="Times New Roman" w:hAnsi="Times New Roman" w:cs="Times New Roman"/>
        </w:rPr>
        <w:t xml:space="preserve"> immaterial characteristic that defines them, but cannot be explained. </w:t>
      </w:r>
      <w:r w:rsidR="007255B9">
        <w:rPr>
          <w:rFonts w:ascii="Times New Roman" w:hAnsi="Times New Roman" w:cs="Times New Roman"/>
        </w:rPr>
        <w:t xml:space="preserve">The escalator takes on this quality of ‘thingness’ </w:t>
      </w:r>
      <w:r w:rsidR="00A478A1">
        <w:rPr>
          <w:rFonts w:ascii="Times New Roman" w:hAnsi="Times New Roman" w:cs="Times New Roman"/>
        </w:rPr>
        <w:t xml:space="preserve">in its status as a symbol within Howie’s life. Howie contemplates many escalators throughout the novel: the one leading to the mezzanine, but also escalators in his local childhood department store, as well as escalators as an abstract ‘thing.’ </w:t>
      </w:r>
      <w:r w:rsidR="001C7E42">
        <w:rPr>
          <w:rFonts w:ascii="Times New Roman" w:hAnsi="Times New Roman" w:cs="Times New Roman"/>
        </w:rPr>
        <w:t xml:space="preserve">As Howie contemplates escalators, their physicality becomes invisible in the face of their liminality. </w:t>
      </w:r>
      <w:r w:rsidR="007B1BD0">
        <w:rPr>
          <w:rFonts w:ascii="Times New Roman" w:hAnsi="Times New Roman" w:cs="Times New Roman"/>
        </w:rPr>
        <w:t xml:space="preserve">He, the subject, creates the conceptual object of </w:t>
      </w:r>
      <w:r w:rsidR="001C7E42">
        <w:rPr>
          <w:rFonts w:ascii="Times New Roman" w:hAnsi="Times New Roman" w:cs="Times New Roman"/>
        </w:rPr>
        <w:t>e</w:t>
      </w:r>
      <w:r w:rsidR="00DD717A">
        <w:rPr>
          <w:rFonts w:ascii="Times New Roman" w:hAnsi="Times New Roman" w:cs="Times New Roman"/>
        </w:rPr>
        <w:t>scalators</w:t>
      </w:r>
      <w:r w:rsidR="007B1BD0">
        <w:rPr>
          <w:rFonts w:ascii="Times New Roman" w:hAnsi="Times New Roman" w:cs="Times New Roman"/>
        </w:rPr>
        <w:t xml:space="preserve">, crafting them into a sort of </w:t>
      </w:r>
      <w:r w:rsidR="00DD717A">
        <w:rPr>
          <w:rFonts w:ascii="Times New Roman" w:hAnsi="Times New Roman" w:cs="Times New Roman"/>
        </w:rPr>
        <w:t>comfort object</w:t>
      </w:r>
      <w:r w:rsidR="007B1BD0">
        <w:rPr>
          <w:rFonts w:ascii="Times New Roman" w:hAnsi="Times New Roman" w:cs="Times New Roman"/>
        </w:rPr>
        <w:t xml:space="preserve"> </w:t>
      </w:r>
      <w:r w:rsidR="00DD717A">
        <w:rPr>
          <w:rFonts w:ascii="Times New Roman" w:hAnsi="Times New Roman" w:cs="Times New Roman"/>
        </w:rPr>
        <w:t xml:space="preserve">– </w:t>
      </w:r>
      <w:r w:rsidR="001C7E42">
        <w:rPr>
          <w:rFonts w:ascii="Times New Roman" w:hAnsi="Times New Roman" w:cs="Times New Roman"/>
        </w:rPr>
        <w:t>he</w:t>
      </w:r>
      <w:r w:rsidR="00DD717A">
        <w:rPr>
          <w:rFonts w:ascii="Times New Roman" w:hAnsi="Times New Roman" w:cs="Times New Roman"/>
        </w:rPr>
        <w:t xml:space="preserve"> even states that one of his favorite things about them is that they mostly have not changed</w:t>
      </w:r>
      <w:r w:rsidR="00897D62">
        <w:rPr>
          <w:rFonts w:ascii="Times New Roman" w:hAnsi="Times New Roman" w:cs="Times New Roman"/>
        </w:rPr>
        <w:t xml:space="preserve"> over time</w:t>
      </w:r>
      <w:r w:rsidR="00DD717A">
        <w:rPr>
          <w:rFonts w:ascii="Times New Roman" w:hAnsi="Times New Roman" w:cs="Times New Roman"/>
        </w:rPr>
        <w:t xml:space="preserve">. “Nothing has been lost,” he </w:t>
      </w:r>
      <w:r w:rsidR="00DD717A" w:rsidRPr="00DD717A">
        <w:rPr>
          <w:rFonts w:ascii="Times New Roman" w:hAnsi="Times New Roman" w:cs="Times New Roman"/>
        </w:rPr>
        <w:t>declares</w:t>
      </w:r>
      <w:r w:rsidR="00DD717A">
        <w:rPr>
          <w:rFonts w:ascii="Times New Roman" w:hAnsi="Times New Roman" w:cs="Times New Roman"/>
        </w:rPr>
        <w:t xml:space="preserve"> (Baker 41). </w:t>
      </w:r>
      <w:r w:rsidR="001C7E42">
        <w:rPr>
          <w:rFonts w:ascii="Times New Roman" w:hAnsi="Times New Roman" w:cs="Times New Roman"/>
        </w:rPr>
        <w:t xml:space="preserve">Howie clings to the concept of escalators as a material constant throughout time. But </w:t>
      </w:r>
      <w:r w:rsidR="00E05044">
        <w:rPr>
          <w:rFonts w:ascii="Times New Roman" w:hAnsi="Times New Roman" w:cs="Times New Roman"/>
        </w:rPr>
        <w:t xml:space="preserve">in his desire for constancy, </w:t>
      </w:r>
      <w:r w:rsidR="001C7E42">
        <w:rPr>
          <w:rFonts w:ascii="Times New Roman" w:hAnsi="Times New Roman" w:cs="Times New Roman"/>
        </w:rPr>
        <w:t xml:space="preserve">he overlooks that escalators themselves </w:t>
      </w:r>
      <w:r w:rsidR="001C7E42">
        <w:rPr>
          <w:rFonts w:ascii="Times New Roman" w:hAnsi="Times New Roman" w:cs="Times New Roman"/>
        </w:rPr>
        <w:lastRenderedPageBreak/>
        <w:t>are a tool of transition</w:t>
      </w:r>
      <w:r w:rsidR="00E05044">
        <w:rPr>
          <w:rFonts w:ascii="Times New Roman" w:hAnsi="Times New Roman" w:cs="Times New Roman"/>
        </w:rPr>
        <w:t xml:space="preserve"> – both physically and </w:t>
      </w:r>
      <w:commentRangeStart w:id="6"/>
      <w:r w:rsidR="00E05044">
        <w:rPr>
          <w:rFonts w:ascii="Times New Roman" w:hAnsi="Times New Roman" w:cs="Times New Roman"/>
        </w:rPr>
        <w:t>metaphorically</w:t>
      </w:r>
      <w:commentRangeEnd w:id="6"/>
      <w:r w:rsidR="0027626C">
        <w:rPr>
          <w:rStyle w:val="CommentReference"/>
        </w:rPr>
        <w:commentReference w:id="6"/>
      </w:r>
      <w:r w:rsidR="001C7E42">
        <w:rPr>
          <w:rFonts w:ascii="Times New Roman" w:hAnsi="Times New Roman" w:cs="Times New Roman"/>
        </w:rPr>
        <w:t xml:space="preserve">. </w:t>
      </w:r>
      <w:r w:rsidR="00201DE2">
        <w:rPr>
          <w:rFonts w:ascii="Times New Roman" w:hAnsi="Times New Roman" w:cs="Times New Roman"/>
        </w:rPr>
        <w:t>Their cyclical steps c</w:t>
      </w:r>
      <w:r w:rsidR="00E05044">
        <w:rPr>
          <w:rFonts w:ascii="Times New Roman" w:hAnsi="Times New Roman" w:cs="Times New Roman"/>
        </w:rPr>
        <w:t>ircle inevitably onward,</w:t>
      </w:r>
      <w:r w:rsidR="00201DE2">
        <w:rPr>
          <w:rFonts w:ascii="Times New Roman" w:hAnsi="Times New Roman" w:cs="Times New Roman"/>
        </w:rPr>
        <w:t xml:space="preserve"> just like Howie’s steady march towards adulthood.</w:t>
      </w:r>
      <w:r w:rsidR="00613F31" w:rsidRPr="00613F31">
        <w:rPr>
          <w:rFonts w:ascii="Times New Roman" w:hAnsi="Times New Roman" w:cs="Times New Roman"/>
        </w:rPr>
        <w:t xml:space="preserve"> </w:t>
      </w:r>
      <w:r w:rsidR="00AF05CE">
        <w:rPr>
          <w:rFonts w:ascii="Times New Roman" w:hAnsi="Times New Roman" w:cs="Times New Roman"/>
        </w:rPr>
        <w:t xml:space="preserve">An example of how escalators fuel transition lies in how Howie’s escalator habits change over time. </w:t>
      </w:r>
      <w:r w:rsidR="003E5BA8">
        <w:rPr>
          <w:rFonts w:ascii="Times New Roman" w:hAnsi="Times New Roman" w:cs="Times New Roman"/>
        </w:rPr>
        <w:t xml:space="preserve">“A year of riding the escalator to work changed me,” Howie asserts as he </w:t>
      </w:r>
      <w:r w:rsidR="002F3492">
        <w:rPr>
          <w:rFonts w:ascii="Times New Roman" w:hAnsi="Times New Roman" w:cs="Times New Roman"/>
        </w:rPr>
        <w:t xml:space="preserve">details how </w:t>
      </w:r>
      <w:r w:rsidR="00FC2EB6">
        <w:rPr>
          <w:rFonts w:ascii="Times New Roman" w:hAnsi="Times New Roman" w:cs="Times New Roman"/>
        </w:rPr>
        <w:t xml:space="preserve">he has shifted from walking up the escalator to standing still and ‘gliding’ (Baker 101). As Howie matures through working at his first job and learning to engage the world as an adult, his relationship with objects such as the escalator changes as well. </w:t>
      </w:r>
      <w:r w:rsidR="00613F31">
        <w:rPr>
          <w:rFonts w:ascii="Times New Roman" w:hAnsi="Times New Roman" w:cs="Times New Roman"/>
        </w:rPr>
        <w:t>T</w:t>
      </w:r>
      <w:r w:rsidR="005B5EC5">
        <w:rPr>
          <w:rFonts w:ascii="Times New Roman" w:hAnsi="Times New Roman" w:cs="Times New Roman"/>
        </w:rPr>
        <w:t xml:space="preserve">he escalator </w:t>
      </w:r>
      <w:r w:rsidR="00312FE8">
        <w:rPr>
          <w:rFonts w:ascii="Times New Roman" w:hAnsi="Times New Roman" w:cs="Times New Roman"/>
        </w:rPr>
        <w:t xml:space="preserve">thus </w:t>
      </w:r>
      <w:r w:rsidR="00613F31">
        <w:rPr>
          <w:rFonts w:ascii="Times New Roman" w:hAnsi="Times New Roman" w:cs="Times New Roman"/>
        </w:rPr>
        <w:t>can</w:t>
      </w:r>
      <w:r w:rsidR="005B5EC5">
        <w:rPr>
          <w:rFonts w:ascii="Times New Roman" w:hAnsi="Times New Roman" w:cs="Times New Roman"/>
        </w:rPr>
        <w:t xml:space="preserve"> be seen as</w:t>
      </w:r>
      <w:r w:rsidR="00FC2EB6">
        <w:rPr>
          <w:rFonts w:ascii="Times New Roman" w:hAnsi="Times New Roman" w:cs="Times New Roman"/>
        </w:rPr>
        <w:t xml:space="preserve"> liminal, both a physical object</w:t>
      </w:r>
      <w:r w:rsidR="005B5EC5">
        <w:rPr>
          <w:rFonts w:ascii="Times New Roman" w:hAnsi="Times New Roman" w:cs="Times New Roman"/>
        </w:rPr>
        <w:t xml:space="preserve"> </w:t>
      </w:r>
      <w:r w:rsidR="00613F31">
        <w:rPr>
          <w:rFonts w:ascii="Times New Roman" w:hAnsi="Times New Roman" w:cs="Times New Roman"/>
        </w:rPr>
        <w:t>and</w:t>
      </w:r>
      <w:r w:rsidR="005B5EC5">
        <w:rPr>
          <w:rFonts w:ascii="Times New Roman" w:hAnsi="Times New Roman" w:cs="Times New Roman"/>
        </w:rPr>
        <w:t xml:space="preserve"> a representation of the present transitional period </w:t>
      </w:r>
      <w:r w:rsidR="00FC2EB6">
        <w:rPr>
          <w:rFonts w:ascii="Times New Roman" w:hAnsi="Times New Roman" w:cs="Times New Roman"/>
        </w:rPr>
        <w:t>in</w:t>
      </w:r>
      <w:r w:rsidR="005B5EC5">
        <w:rPr>
          <w:rFonts w:ascii="Times New Roman" w:hAnsi="Times New Roman" w:cs="Times New Roman"/>
        </w:rPr>
        <w:t xml:space="preserve"> Howie’s life. </w:t>
      </w:r>
      <w:r w:rsidR="00FA1EE3">
        <w:rPr>
          <w:rFonts w:ascii="Times New Roman" w:hAnsi="Times New Roman" w:cs="Times New Roman"/>
        </w:rPr>
        <w:t>This indefinable capacity</w:t>
      </w:r>
      <w:r w:rsidR="00FC2EB6">
        <w:rPr>
          <w:rFonts w:ascii="Times New Roman" w:hAnsi="Times New Roman" w:cs="Times New Roman"/>
        </w:rPr>
        <w:t xml:space="preserve"> of ‘thingness,’ both material and immaterial,</w:t>
      </w:r>
      <w:r w:rsidR="00FA1EE3">
        <w:rPr>
          <w:rFonts w:ascii="Times New Roman" w:hAnsi="Times New Roman" w:cs="Times New Roman"/>
        </w:rPr>
        <w:t xml:space="preserve"> is </w:t>
      </w:r>
      <w:r w:rsidR="0095087C">
        <w:rPr>
          <w:rFonts w:ascii="Times New Roman" w:hAnsi="Times New Roman" w:cs="Times New Roman"/>
        </w:rPr>
        <w:t xml:space="preserve">also </w:t>
      </w:r>
      <w:r w:rsidR="00FA1EE3">
        <w:rPr>
          <w:rFonts w:ascii="Times New Roman" w:hAnsi="Times New Roman" w:cs="Times New Roman"/>
        </w:rPr>
        <w:t>critical to Brown’s third and final aspect of Thing Theory.</w:t>
      </w:r>
    </w:p>
    <w:p w14:paraId="47E76428" w14:textId="2E9F3BE2" w:rsidR="001E787B" w:rsidRDefault="00FA1EE3" w:rsidP="00FF517E">
      <w:pPr>
        <w:spacing w:line="480" w:lineRule="auto"/>
        <w:ind w:firstLine="720"/>
        <w:rPr>
          <w:rFonts w:ascii="Times New Roman" w:hAnsi="Times New Roman" w:cs="Times New Roman"/>
        </w:rPr>
      </w:pPr>
      <w:r>
        <w:rPr>
          <w:rFonts w:ascii="Times New Roman" w:hAnsi="Times New Roman" w:cs="Times New Roman"/>
        </w:rPr>
        <w:t>Excess is the potential of objects to be greater than themselves. It describes the transformation of objects from mundane an</w:t>
      </w:r>
      <w:r w:rsidR="00FF517E">
        <w:rPr>
          <w:rFonts w:ascii="Times New Roman" w:hAnsi="Times New Roman" w:cs="Times New Roman"/>
        </w:rPr>
        <w:t>d everyday to something grander,</w:t>
      </w:r>
      <w:r>
        <w:rPr>
          <w:rFonts w:ascii="Times New Roman" w:hAnsi="Times New Roman" w:cs="Times New Roman"/>
        </w:rPr>
        <w:t xml:space="preserve"> the significance they are ascribed in association with a particular person, place, or time. </w:t>
      </w:r>
      <w:r w:rsidR="006777A5">
        <w:rPr>
          <w:rFonts w:ascii="Times New Roman" w:hAnsi="Times New Roman" w:cs="Times New Roman"/>
        </w:rPr>
        <w:t xml:space="preserve">This external capacity exists outside of the object’s material capacity, yet defines it just as utterly. The </w:t>
      </w:r>
      <w:r w:rsidR="00E01F84">
        <w:rPr>
          <w:rFonts w:ascii="Times New Roman" w:hAnsi="Times New Roman" w:cs="Times New Roman"/>
        </w:rPr>
        <w:t>person who assigns it this value transforms the object</w:t>
      </w:r>
      <w:r w:rsidR="006777A5">
        <w:rPr>
          <w:rFonts w:ascii="Times New Roman" w:hAnsi="Times New Roman" w:cs="Times New Roman"/>
        </w:rPr>
        <w:t xml:space="preserve">; </w:t>
      </w:r>
      <w:r w:rsidR="00E01F84">
        <w:rPr>
          <w:rFonts w:ascii="Times New Roman" w:hAnsi="Times New Roman" w:cs="Times New Roman"/>
        </w:rPr>
        <w:t>the object shapes that person</w:t>
      </w:r>
      <w:r w:rsidR="006777A5">
        <w:rPr>
          <w:rFonts w:ascii="Times New Roman" w:hAnsi="Times New Roman" w:cs="Times New Roman"/>
        </w:rPr>
        <w:t xml:space="preserve"> in turn. </w:t>
      </w:r>
      <w:r w:rsidR="00DF19D1">
        <w:rPr>
          <w:rFonts w:ascii="Times New Roman" w:hAnsi="Times New Roman" w:cs="Times New Roman"/>
        </w:rPr>
        <w:t xml:space="preserve">It is hard to pinpoint a specific instance of excess in the novel because so much of Howie’s life is defined by the excessive significance </w:t>
      </w:r>
      <w:r w:rsidR="00D40EBB">
        <w:rPr>
          <w:rFonts w:ascii="Times New Roman" w:hAnsi="Times New Roman" w:cs="Times New Roman"/>
        </w:rPr>
        <w:t xml:space="preserve">he ascribes to everyday objects. </w:t>
      </w:r>
      <w:r w:rsidR="007760BE">
        <w:rPr>
          <w:rFonts w:ascii="Times New Roman" w:hAnsi="Times New Roman" w:cs="Times New Roman"/>
        </w:rPr>
        <w:t xml:space="preserve">The footnotes Baker employs so frequently throughout the novel are evidence of this, as footnotes are comprised entirely </w:t>
      </w:r>
      <w:r w:rsidR="00AB275A">
        <w:rPr>
          <w:rFonts w:ascii="Times New Roman" w:hAnsi="Times New Roman" w:cs="Times New Roman"/>
        </w:rPr>
        <w:t xml:space="preserve">of </w:t>
      </w:r>
      <w:r w:rsidR="007760BE">
        <w:rPr>
          <w:rFonts w:ascii="Times New Roman" w:hAnsi="Times New Roman" w:cs="Times New Roman"/>
        </w:rPr>
        <w:t xml:space="preserve">excessive thoughts that don’t fit within a text’s main body. </w:t>
      </w:r>
      <w:r w:rsidR="00FF517E">
        <w:rPr>
          <w:rFonts w:ascii="Times New Roman" w:hAnsi="Times New Roman" w:cs="Times New Roman"/>
        </w:rPr>
        <w:t xml:space="preserve">Another example is how </w:t>
      </w:r>
      <w:r w:rsidR="007760BE">
        <w:rPr>
          <w:rFonts w:ascii="Times New Roman" w:hAnsi="Times New Roman" w:cs="Times New Roman"/>
        </w:rPr>
        <w:t xml:space="preserve">Howie </w:t>
      </w:r>
      <w:r w:rsidR="00EA39FE">
        <w:rPr>
          <w:rFonts w:ascii="Times New Roman" w:hAnsi="Times New Roman" w:cs="Times New Roman"/>
        </w:rPr>
        <w:t>expounds for an entire page on ‘systems of local transport’ that entranced him as a child: escalators</w:t>
      </w:r>
      <w:r w:rsidR="00276E08">
        <w:rPr>
          <w:rFonts w:ascii="Times New Roman" w:hAnsi="Times New Roman" w:cs="Times New Roman"/>
        </w:rPr>
        <w:t xml:space="preserve"> of course</w:t>
      </w:r>
      <w:r w:rsidR="00EA39FE">
        <w:rPr>
          <w:rFonts w:ascii="Times New Roman" w:hAnsi="Times New Roman" w:cs="Times New Roman"/>
        </w:rPr>
        <w:t>, as well as “…airport luggage-handling systems… supermarket checkout conveyor belts… supermarket roller coasters… milk bottling machines…” and so on (</w:t>
      </w:r>
      <w:r w:rsidR="00577F16">
        <w:rPr>
          <w:rFonts w:ascii="Times New Roman" w:hAnsi="Times New Roman" w:cs="Times New Roman"/>
        </w:rPr>
        <w:t>Baker</w:t>
      </w:r>
      <w:r w:rsidR="00EA39FE">
        <w:rPr>
          <w:rFonts w:ascii="Times New Roman" w:hAnsi="Times New Roman" w:cs="Times New Roman"/>
        </w:rPr>
        <w:t xml:space="preserve"> 35). </w:t>
      </w:r>
      <w:r w:rsidR="004E5A18">
        <w:rPr>
          <w:rFonts w:ascii="Times New Roman" w:hAnsi="Times New Roman" w:cs="Times New Roman"/>
        </w:rPr>
        <w:t xml:space="preserve">Though all of these objects have their own material functions and qualities, their significance to </w:t>
      </w:r>
      <w:r w:rsidR="004E5A18">
        <w:rPr>
          <w:rFonts w:ascii="Times New Roman" w:hAnsi="Times New Roman" w:cs="Times New Roman"/>
        </w:rPr>
        <w:lastRenderedPageBreak/>
        <w:t xml:space="preserve">Howie </w:t>
      </w:r>
      <w:r w:rsidR="00375D70">
        <w:rPr>
          <w:rFonts w:ascii="Times New Roman" w:hAnsi="Times New Roman" w:cs="Times New Roman"/>
        </w:rPr>
        <w:t xml:space="preserve">lie in </w:t>
      </w:r>
      <w:r w:rsidR="004E5A18">
        <w:rPr>
          <w:rFonts w:ascii="Times New Roman" w:hAnsi="Times New Roman" w:cs="Times New Roman"/>
        </w:rPr>
        <w:t xml:space="preserve">the </w:t>
      </w:r>
      <w:commentRangeStart w:id="7"/>
      <w:r w:rsidR="004E5A18">
        <w:rPr>
          <w:rFonts w:ascii="Times New Roman" w:hAnsi="Times New Roman" w:cs="Times New Roman"/>
        </w:rPr>
        <w:t>nostalgia they provoke</w:t>
      </w:r>
      <w:commentRangeEnd w:id="7"/>
      <w:r w:rsidR="0027626C">
        <w:rPr>
          <w:rStyle w:val="CommentReference"/>
        </w:rPr>
        <w:commentReference w:id="7"/>
      </w:r>
      <w:r w:rsidR="00A9269C">
        <w:rPr>
          <w:rFonts w:ascii="Times New Roman" w:hAnsi="Times New Roman" w:cs="Times New Roman"/>
        </w:rPr>
        <w:t>, and the wonder they instill. Howie’s objects</w:t>
      </w:r>
      <w:r w:rsidR="004E5A18">
        <w:rPr>
          <w:rFonts w:ascii="Times New Roman" w:hAnsi="Times New Roman" w:cs="Times New Roman"/>
        </w:rPr>
        <w:t xml:space="preserve"> become idols in his mind:</w:t>
      </w:r>
      <w:r w:rsidR="00375D70">
        <w:rPr>
          <w:rFonts w:ascii="Times New Roman" w:hAnsi="Times New Roman" w:cs="Times New Roman"/>
        </w:rPr>
        <w:t xml:space="preserve"> revered</w:t>
      </w:r>
      <w:r w:rsidR="004E5A18">
        <w:rPr>
          <w:rFonts w:ascii="Times New Roman" w:hAnsi="Times New Roman" w:cs="Times New Roman"/>
        </w:rPr>
        <w:t xml:space="preserve"> items symbolic of his childhood that he has clung to as he matured</w:t>
      </w:r>
      <w:r w:rsidR="00375D70">
        <w:rPr>
          <w:rFonts w:ascii="Times New Roman" w:hAnsi="Times New Roman" w:cs="Times New Roman"/>
        </w:rPr>
        <w:t xml:space="preserve">. </w:t>
      </w:r>
      <w:r w:rsidR="00A9269C">
        <w:rPr>
          <w:rFonts w:ascii="Times New Roman" w:hAnsi="Times New Roman" w:cs="Times New Roman"/>
        </w:rPr>
        <w:t xml:space="preserve">Yet </w:t>
      </w:r>
      <w:r w:rsidR="008D3ADF">
        <w:rPr>
          <w:rFonts w:ascii="Times New Roman" w:hAnsi="Times New Roman" w:cs="Times New Roman"/>
        </w:rPr>
        <w:t xml:space="preserve">in </w:t>
      </w:r>
      <w:r w:rsidR="00A9269C">
        <w:rPr>
          <w:rFonts w:ascii="Times New Roman" w:hAnsi="Times New Roman" w:cs="Times New Roman"/>
        </w:rPr>
        <w:t xml:space="preserve">his capacity </w:t>
      </w:r>
      <w:r w:rsidR="008D3ADF">
        <w:rPr>
          <w:rFonts w:ascii="Times New Roman" w:hAnsi="Times New Roman" w:cs="Times New Roman"/>
        </w:rPr>
        <w:t xml:space="preserve">for wonder, Howie encounters the same objects differently each time, bestowing them with a renewable state of newness as he marvels and reminisces again and again. </w:t>
      </w:r>
      <w:r w:rsidR="00375D70">
        <w:rPr>
          <w:rFonts w:ascii="Times New Roman" w:hAnsi="Times New Roman" w:cs="Times New Roman"/>
        </w:rPr>
        <w:t xml:space="preserve">In fact, Howie’s fondness for </w:t>
      </w:r>
      <w:r w:rsidR="008D3ADF">
        <w:rPr>
          <w:rFonts w:ascii="Times New Roman" w:hAnsi="Times New Roman" w:cs="Times New Roman"/>
        </w:rPr>
        <w:t xml:space="preserve">nostalgia and </w:t>
      </w:r>
      <w:r w:rsidR="00375D70">
        <w:rPr>
          <w:rFonts w:ascii="Times New Roman" w:hAnsi="Times New Roman" w:cs="Times New Roman"/>
        </w:rPr>
        <w:t>infinite wonder</w:t>
      </w:r>
      <w:r w:rsidR="00A9269C">
        <w:rPr>
          <w:rFonts w:ascii="Times New Roman" w:hAnsi="Times New Roman" w:cs="Times New Roman"/>
        </w:rPr>
        <w:t xml:space="preserve"> </w:t>
      </w:r>
      <w:r w:rsidR="00375D70">
        <w:rPr>
          <w:rFonts w:ascii="Times New Roman" w:hAnsi="Times New Roman" w:cs="Times New Roman"/>
        </w:rPr>
        <w:t xml:space="preserve">becomes one of his defining characteristics as the novel progresses. </w:t>
      </w:r>
      <w:r w:rsidR="00BF793F">
        <w:rPr>
          <w:rFonts w:ascii="Times New Roman" w:hAnsi="Times New Roman" w:cs="Times New Roman"/>
        </w:rPr>
        <w:t>“</w:t>
      </w:r>
      <w:r w:rsidR="003E5BA8">
        <w:rPr>
          <w:rFonts w:ascii="Times New Roman" w:hAnsi="Times New Roman" w:cs="Times New Roman"/>
        </w:rPr>
        <w:t xml:space="preserve">You’re on a moving stairway. </w:t>
      </w:r>
      <w:r w:rsidR="003E5BA8">
        <w:rPr>
          <w:rFonts w:ascii="Times New Roman" w:hAnsi="Times New Roman" w:cs="Times New Roman"/>
          <w:i/>
        </w:rPr>
        <w:t>Feel</w:t>
      </w:r>
      <w:r w:rsidR="003E5BA8">
        <w:rPr>
          <w:rFonts w:ascii="Times New Roman" w:hAnsi="Times New Roman" w:cs="Times New Roman"/>
        </w:rPr>
        <w:t xml:space="preserve"> your own effortful, bobbing steps melt into the inexhaustible meliorism of the escalator…” Howie states (Baker 101). </w:t>
      </w:r>
      <w:r w:rsidR="00BF793F">
        <w:rPr>
          <w:rFonts w:ascii="Times New Roman" w:hAnsi="Times New Roman" w:cs="Times New Roman"/>
        </w:rPr>
        <w:t xml:space="preserve">Though he </w:t>
      </w:r>
      <w:r w:rsidR="003E5BA8">
        <w:rPr>
          <w:rFonts w:ascii="Times New Roman" w:hAnsi="Times New Roman" w:cs="Times New Roman"/>
        </w:rPr>
        <w:t>exclaims over</w:t>
      </w:r>
      <w:r w:rsidR="00BF793F">
        <w:rPr>
          <w:rFonts w:ascii="Times New Roman" w:hAnsi="Times New Roman" w:cs="Times New Roman"/>
        </w:rPr>
        <w:t xml:space="preserve"> specifically to escalators here, </w:t>
      </w:r>
      <w:r w:rsidR="0091491F">
        <w:rPr>
          <w:rFonts w:ascii="Times New Roman" w:hAnsi="Times New Roman" w:cs="Times New Roman"/>
        </w:rPr>
        <w:t xml:space="preserve">this </w:t>
      </w:r>
      <w:r w:rsidR="00480A62">
        <w:rPr>
          <w:rFonts w:ascii="Times New Roman" w:hAnsi="Times New Roman" w:cs="Times New Roman"/>
        </w:rPr>
        <w:t xml:space="preserve">quote </w:t>
      </w:r>
      <w:r w:rsidR="0091491F">
        <w:rPr>
          <w:rFonts w:ascii="Times New Roman" w:hAnsi="Times New Roman" w:cs="Times New Roman"/>
        </w:rPr>
        <w:t>connote</w:t>
      </w:r>
      <w:r w:rsidR="00480A62">
        <w:rPr>
          <w:rFonts w:ascii="Times New Roman" w:hAnsi="Times New Roman" w:cs="Times New Roman"/>
        </w:rPr>
        <w:t>s</w:t>
      </w:r>
      <w:r w:rsidR="0091491F">
        <w:rPr>
          <w:rFonts w:ascii="Times New Roman" w:hAnsi="Times New Roman" w:cs="Times New Roman"/>
        </w:rPr>
        <w:t xml:space="preserve"> </w:t>
      </w:r>
      <w:r w:rsidR="00480A62">
        <w:rPr>
          <w:rFonts w:ascii="Times New Roman" w:hAnsi="Times New Roman" w:cs="Times New Roman"/>
        </w:rPr>
        <w:t>Howie’s general</w:t>
      </w:r>
      <w:r w:rsidR="00D40EBB">
        <w:rPr>
          <w:rFonts w:ascii="Times New Roman" w:hAnsi="Times New Roman" w:cs="Times New Roman"/>
        </w:rPr>
        <w:t xml:space="preserve"> delighted</w:t>
      </w:r>
      <w:r w:rsidR="007760BE">
        <w:rPr>
          <w:rFonts w:ascii="Times New Roman" w:hAnsi="Times New Roman" w:cs="Times New Roman"/>
        </w:rPr>
        <w:t xml:space="preserve"> </w:t>
      </w:r>
      <w:r w:rsidR="00480A62">
        <w:rPr>
          <w:rFonts w:ascii="Times New Roman" w:hAnsi="Times New Roman" w:cs="Times New Roman"/>
        </w:rPr>
        <w:t xml:space="preserve">mindset </w:t>
      </w:r>
      <w:r w:rsidR="002C54F9">
        <w:rPr>
          <w:rFonts w:ascii="Times New Roman" w:hAnsi="Times New Roman" w:cs="Times New Roman"/>
        </w:rPr>
        <w:t xml:space="preserve">regarding </w:t>
      </w:r>
      <w:r w:rsidR="00A70C8B">
        <w:rPr>
          <w:rFonts w:ascii="Times New Roman" w:hAnsi="Times New Roman" w:cs="Times New Roman"/>
        </w:rPr>
        <w:t>objects</w:t>
      </w:r>
      <w:r w:rsidR="007760BE">
        <w:rPr>
          <w:rFonts w:ascii="Times New Roman" w:hAnsi="Times New Roman" w:cs="Times New Roman"/>
        </w:rPr>
        <w:t>, instilling them with excess</w:t>
      </w:r>
      <w:r w:rsidR="00480A62">
        <w:rPr>
          <w:rFonts w:ascii="Times New Roman" w:hAnsi="Times New Roman" w:cs="Times New Roman"/>
        </w:rPr>
        <w:t>.</w:t>
      </w:r>
      <w:r w:rsidR="00A70C8B">
        <w:rPr>
          <w:rFonts w:ascii="Times New Roman" w:hAnsi="Times New Roman" w:cs="Times New Roman"/>
        </w:rPr>
        <w:t xml:space="preserve"> </w:t>
      </w:r>
      <w:r w:rsidR="00A9269C">
        <w:rPr>
          <w:rFonts w:ascii="Times New Roman" w:hAnsi="Times New Roman" w:cs="Times New Roman"/>
        </w:rPr>
        <w:t>Baker’s</w:t>
      </w:r>
      <w:r w:rsidR="003175EA">
        <w:rPr>
          <w:rFonts w:ascii="Times New Roman" w:hAnsi="Times New Roman" w:cs="Times New Roman"/>
        </w:rPr>
        <w:t xml:space="preserve"> entire novel is </w:t>
      </w:r>
      <w:r w:rsidR="007B4A88">
        <w:rPr>
          <w:rFonts w:ascii="Times New Roman" w:hAnsi="Times New Roman" w:cs="Times New Roman"/>
        </w:rPr>
        <w:t xml:space="preserve">essentially </w:t>
      </w:r>
      <w:r w:rsidR="003175EA">
        <w:rPr>
          <w:rFonts w:ascii="Times New Roman" w:hAnsi="Times New Roman" w:cs="Times New Roman"/>
        </w:rPr>
        <w:t xml:space="preserve">comprised of the excess </w:t>
      </w:r>
      <w:r w:rsidR="007B4A88">
        <w:rPr>
          <w:rFonts w:ascii="Times New Roman" w:hAnsi="Times New Roman" w:cs="Times New Roman"/>
        </w:rPr>
        <w:t>accompanying</w:t>
      </w:r>
      <w:r w:rsidR="003175EA">
        <w:rPr>
          <w:rFonts w:ascii="Times New Roman" w:hAnsi="Times New Roman" w:cs="Times New Roman"/>
        </w:rPr>
        <w:t xml:space="preserve"> </w:t>
      </w:r>
      <w:r w:rsidR="00A9269C">
        <w:rPr>
          <w:rFonts w:ascii="Times New Roman" w:hAnsi="Times New Roman" w:cs="Times New Roman"/>
        </w:rPr>
        <w:t>Howie’s</w:t>
      </w:r>
      <w:r w:rsidR="003175EA">
        <w:rPr>
          <w:rFonts w:ascii="Times New Roman" w:hAnsi="Times New Roman" w:cs="Times New Roman"/>
        </w:rPr>
        <w:t xml:space="preserve"> escalator ride</w:t>
      </w:r>
      <w:r w:rsidR="00A9269C" w:rsidRPr="00A9269C">
        <w:rPr>
          <w:rFonts w:ascii="Times New Roman" w:hAnsi="Times New Roman" w:cs="Times New Roman"/>
        </w:rPr>
        <w:t xml:space="preserve"> </w:t>
      </w:r>
      <w:r w:rsidR="00A9269C">
        <w:rPr>
          <w:rFonts w:ascii="Times New Roman" w:hAnsi="Times New Roman" w:cs="Times New Roman"/>
        </w:rPr>
        <w:t xml:space="preserve">as Howie associates memories, habits, and realizations with this </w:t>
      </w:r>
      <w:commentRangeStart w:id="8"/>
      <w:r w:rsidR="00A9269C">
        <w:rPr>
          <w:rFonts w:ascii="Times New Roman" w:hAnsi="Times New Roman" w:cs="Times New Roman"/>
        </w:rPr>
        <w:t>object</w:t>
      </w:r>
      <w:commentRangeEnd w:id="8"/>
      <w:r w:rsidR="0027626C">
        <w:rPr>
          <w:rStyle w:val="CommentReference"/>
        </w:rPr>
        <w:commentReference w:id="8"/>
      </w:r>
      <w:r w:rsidR="003175EA">
        <w:rPr>
          <w:rFonts w:ascii="Times New Roman" w:hAnsi="Times New Roman" w:cs="Times New Roman"/>
        </w:rPr>
        <w:t xml:space="preserve">. </w:t>
      </w:r>
      <w:r w:rsidR="00666E2B">
        <w:rPr>
          <w:rFonts w:ascii="Times New Roman" w:hAnsi="Times New Roman" w:cs="Times New Roman"/>
        </w:rPr>
        <w:t>The culmination of this excess is in the no</w:t>
      </w:r>
      <w:r w:rsidR="003175EA">
        <w:rPr>
          <w:rFonts w:ascii="Times New Roman" w:hAnsi="Times New Roman" w:cs="Times New Roman"/>
        </w:rPr>
        <w:t>vel’s closing chapter</w:t>
      </w:r>
      <w:r w:rsidR="00951088">
        <w:rPr>
          <w:rFonts w:ascii="Times New Roman" w:hAnsi="Times New Roman" w:cs="Times New Roman"/>
        </w:rPr>
        <w:t xml:space="preserve">. </w:t>
      </w:r>
      <w:r w:rsidR="00666E2B">
        <w:rPr>
          <w:rFonts w:ascii="Times New Roman" w:hAnsi="Times New Roman" w:cs="Times New Roman"/>
        </w:rPr>
        <w:t xml:space="preserve">As Howie finally disembarks from the office escalator onto the mezzanine, his transition appears complete. Not only has the escalator ride come to a close, but so has the novel, and with it, Howie’s </w:t>
      </w:r>
      <w:r w:rsidR="00951088">
        <w:rPr>
          <w:rFonts w:ascii="Times New Roman" w:hAnsi="Times New Roman" w:cs="Times New Roman"/>
        </w:rPr>
        <w:t xml:space="preserve">interactions with his objects, and his </w:t>
      </w:r>
      <w:r w:rsidR="00666E2B">
        <w:rPr>
          <w:rFonts w:ascii="Times New Roman" w:hAnsi="Times New Roman" w:cs="Times New Roman"/>
        </w:rPr>
        <w:t>development</w:t>
      </w:r>
      <w:r w:rsidR="00951088">
        <w:rPr>
          <w:rFonts w:ascii="Times New Roman" w:hAnsi="Times New Roman" w:cs="Times New Roman"/>
        </w:rPr>
        <w:t xml:space="preserve"> as a character</w:t>
      </w:r>
      <w:r w:rsidR="00666E2B">
        <w:rPr>
          <w:rFonts w:ascii="Times New Roman" w:hAnsi="Times New Roman" w:cs="Times New Roman"/>
        </w:rPr>
        <w:t xml:space="preserve">. </w:t>
      </w:r>
      <w:r w:rsidR="005B5EC5">
        <w:rPr>
          <w:rFonts w:ascii="Times New Roman" w:hAnsi="Times New Roman" w:cs="Times New Roman"/>
        </w:rPr>
        <w:t xml:space="preserve">The escalator becomes a </w:t>
      </w:r>
      <w:r w:rsidR="00312FE8">
        <w:rPr>
          <w:rFonts w:ascii="Times New Roman" w:hAnsi="Times New Roman" w:cs="Times New Roman"/>
        </w:rPr>
        <w:t>“</w:t>
      </w:r>
      <w:r w:rsidR="005B5EC5">
        <w:rPr>
          <w:rFonts w:ascii="Times New Roman" w:hAnsi="Times New Roman" w:cs="Times New Roman"/>
        </w:rPr>
        <w:t xml:space="preserve">vehicle </w:t>
      </w:r>
      <w:r w:rsidR="00312FE8">
        <w:rPr>
          <w:rFonts w:ascii="Times New Roman" w:hAnsi="Times New Roman" w:cs="Times New Roman"/>
        </w:rPr>
        <w:t>of</w:t>
      </w:r>
      <w:r w:rsidR="005B5EC5">
        <w:rPr>
          <w:rFonts w:ascii="Times New Roman" w:hAnsi="Times New Roman" w:cs="Times New Roman"/>
        </w:rPr>
        <w:t xml:space="preserve"> this </w:t>
      </w:r>
      <w:r w:rsidR="00312FE8">
        <w:rPr>
          <w:rFonts w:ascii="Times New Roman" w:hAnsi="Times New Roman" w:cs="Times New Roman"/>
        </w:rPr>
        <w:t>memoir,” as Howie describes (Baker 37). J</w:t>
      </w:r>
      <w:r w:rsidR="005B5EC5">
        <w:rPr>
          <w:rFonts w:ascii="Times New Roman" w:hAnsi="Times New Roman" w:cs="Times New Roman"/>
        </w:rPr>
        <w:t>ust as the escalator carries Howie physically from the ground floor to the mezzanine, the</w:t>
      </w:r>
      <w:r w:rsidR="00312FE8">
        <w:rPr>
          <w:rFonts w:ascii="Times New Roman" w:hAnsi="Times New Roman" w:cs="Times New Roman"/>
        </w:rPr>
        <w:t xml:space="preserve"> course of this novel </w:t>
      </w:r>
      <w:r w:rsidR="005B5EC5">
        <w:rPr>
          <w:rFonts w:ascii="Times New Roman" w:hAnsi="Times New Roman" w:cs="Times New Roman"/>
        </w:rPr>
        <w:t xml:space="preserve">carries Howie from his childhood to his </w:t>
      </w:r>
      <w:commentRangeStart w:id="9"/>
      <w:r w:rsidR="005B5EC5">
        <w:rPr>
          <w:rFonts w:ascii="Times New Roman" w:hAnsi="Times New Roman" w:cs="Times New Roman"/>
        </w:rPr>
        <w:t>adulthood</w:t>
      </w:r>
      <w:commentRangeEnd w:id="9"/>
      <w:r w:rsidR="00425375">
        <w:rPr>
          <w:rStyle w:val="CommentReference"/>
        </w:rPr>
        <w:commentReference w:id="9"/>
      </w:r>
      <w:r w:rsidR="00A9269C">
        <w:rPr>
          <w:rFonts w:ascii="Times New Roman" w:hAnsi="Times New Roman" w:cs="Times New Roman"/>
        </w:rPr>
        <w:t xml:space="preserve">. </w:t>
      </w:r>
    </w:p>
    <w:p w14:paraId="63466E47" w14:textId="4B1E9F30" w:rsidR="002E2B37" w:rsidRDefault="002E23DF" w:rsidP="00EA767D">
      <w:pPr>
        <w:spacing w:line="480" w:lineRule="auto"/>
        <w:ind w:firstLine="720"/>
        <w:rPr>
          <w:rFonts w:ascii="Times New Roman" w:hAnsi="Times New Roman" w:cs="Times New Roman"/>
        </w:rPr>
      </w:pPr>
      <w:r>
        <w:rPr>
          <w:rFonts w:ascii="Times New Roman" w:hAnsi="Times New Roman" w:cs="Times New Roman"/>
        </w:rPr>
        <w:t xml:space="preserve">Bill Brown’s Thing Theory depicts the </w:t>
      </w:r>
      <w:r w:rsidRPr="009E1AE0">
        <w:rPr>
          <w:rFonts w:ascii="Times New Roman" w:hAnsi="Times New Roman" w:cs="Times New Roman"/>
        </w:rPr>
        <w:t>reciprocal</w:t>
      </w:r>
      <w:r>
        <w:rPr>
          <w:rFonts w:ascii="Times New Roman" w:hAnsi="Times New Roman" w:cs="Times New Roman"/>
        </w:rPr>
        <w:t xml:space="preserve"> relationship between Howie and his objects as he examines their material and immaterial properties and their role in his life. </w:t>
      </w:r>
      <w:r w:rsidR="00131A0C">
        <w:rPr>
          <w:rFonts w:ascii="Times New Roman" w:hAnsi="Times New Roman" w:cs="Times New Roman"/>
        </w:rPr>
        <w:t xml:space="preserve">Howie exemplifies the concept of objects shaping their subjects. Within this novel, his identity is </w:t>
      </w:r>
      <w:r w:rsidR="006C3CB7">
        <w:rPr>
          <w:rFonts w:ascii="Times New Roman" w:hAnsi="Times New Roman" w:cs="Times New Roman"/>
        </w:rPr>
        <w:t>defined</w:t>
      </w:r>
      <w:r w:rsidR="00131A0C">
        <w:rPr>
          <w:rFonts w:ascii="Times New Roman" w:hAnsi="Times New Roman" w:cs="Times New Roman"/>
        </w:rPr>
        <w:t xml:space="preserve"> through his experience with objects around him</w:t>
      </w:r>
      <w:r w:rsidR="006C3CB7">
        <w:rPr>
          <w:rFonts w:ascii="Times New Roman" w:hAnsi="Times New Roman" w:cs="Times New Roman"/>
        </w:rPr>
        <w:t xml:space="preserve">. </w:t>
      </w:r>
      <w:r w:rsidR="00FF517E">
        <w:rPr>
          <w:rFonts w:ascii="Times New Roman" w:hAnsi="Times New Roman" w:cs="Times New Roman"/>
        </w:rPr>
        <w:t xml:space="preserve">The escalator </w:t>
      </w:r>
      <w:r w:rsidR="00040011">
        <w:rPr>
          <w:rFonts w:ascii="Times New Roman" w:hAnsi="Times New Roman" w:cs="Times New Roman"/>
        </w:rPr>
        <w:t xml:space="preserve">in particular </w:t>
      </w:r>
      <w:r w:rsidR="00FF517E">
        <w:rPr>
          <w:rFonts w:ascii="Times New Roman" w:hAnsi="Times New Roman" w:cs="Times New Roman"/>
        </w:rPr>
        <w:t xml:space="preserve">shapes Howie in all its dimensions of thingness. The novel hinges around Howie’s self-awareness about his own maturation; the escalator becomes his guide as he transitions both figuratively and </w:t>
      </w:r>
      <w:r w:rsidR="00FF517E">
        <w:rPr>
          <w:rFonts w:ascii="Times New Roman" w:hAnsi="Times New Roman" w:cs="Times New Roman"/>
        </w:rPr>
        <w:lastRenderedPageBreak/>
        <w:t xml:space="preserve">literally. </w:t>
      </w:r>
      <w:r w:rsidR="000A002B">
        <w:rPr>
          <w:rFonts w:ascii="Times New Roman" w:hAnsi="Times New Roman" w:cs="Times New Roman"/>
        </w:rPr>
        <w:t xml:space="preserve">Howie’s way of encountering the world is through his objects. </w:t>
      </w:r>
      <w:r w:rsidR="006C3CB7">
        <w:rPr>
          <w:rFonts w:ascii="Times New Roman" w:hAnsi="Times New Roman" w:cs="Times New Roman"/>
        </w:rPr>
        <w:t xml:space="preserve">Though he imposes his own interpretation and meaning on the objects around him, they </w:t>
      </w:r>
      <w:r w:rsidR="000A002B">
        <w:rPr>
          <w:rFonts w:ascii="Times New Roman" w:hAnsi="Times New Roman" w:cs="Times New Roman"/>
        </w:rPr>
        <w:t xml:space="preserve">significantly </w:t>
      </w:r>
      <w:r w:rsidR="006C3CB7">
        <w:rPr>
          <w:rFonts w:ascii="Times New Roman" w:hAnsi="Times New Roman" w:cs="Times New Roman"/>
        </w:rPr>
        <w:t xml:space="preserve">shape </w:t>
      </w:r>
      <w:r w:rsidR="007D1F25">
        <w:rPr>
          <w:rFonts w:ascii="Times New Roman" w:hAnsi="Times New Roman" w:cs="Times New Roman"/>
        </w:rPr>
        <w:t>his identity</w:t>
      </w:r>
      <w:r w:rsidR="006C3CB7">
        <w:rPr>
          <w:rFonts w:ascii="Times New Roman" w:hAnsi="Times New Roman" w:cs="Times New Roman"/>
        </w:rPr>
        <w:t xml:space="preserve"> as well. </w:t>
      </w:r>
    </w:p>
    <w:p w14:paraId="70CDD0AC" w14:textId="22CB4754" w:rsidR="00425375" w:rsidRDefault="00425375">
      <w:pPr>
        <w:rPr>
          <w:rFonts w:ascii="Times New Roman" w:hAnsi="Times New Roman" w:cs="Times New Roman"/>
        </w:rPr>
      </w:pPr>
      <w:r>
        <w:rPr>
          <w:rFonts w:ascii="Times New Roman" w:hAnsi="Times New Roman" w:cs="Times New Roman"/>
        </w:rPr>
        <w:br w:type="page"/>
      </w:r>
    </w:p>
    <w:p w14:paraId="732B60B7" w14:textId="77777777" w:rsidR="00425375" w:rsidRDefault="00425375" w:rsidP="00425375">
      <w:pPr>
        <w:jc w:val="center"/>
      </w:pPr>
      <w:r>
        <w:lastRenderedPageBreak/>
        <w:t>Grading Rubric for Putting Theory to Work #2</w:t>
      </w:r>
    </w:p>
    <w:p w14:paraId="622A4D95" w14:textId="77777777" w:rsidR="00425375" w:rsidRDefault="00425375" w:rsidP="00425375"/>
    <w:p w14:paraId="0BEF25C6" w14:textId="77777777" w:rsidR="00425375" w:rsidRDefault="00425375" w:rsidP="00425375">
      <w:r>
        <w:t>Name:  Zo</w:t>
      </w:r>
      <w:r>
        <w:rPr>
          <w:rFonts w:cs="Times New Roman"/>
        </w:rPr>
        <w:t>ë Mertz</w:t>
      </w:r>
    </w:p>
    <w:p w14:paraId="7088CBD5" w14:textId="77777777" w:rsidR="00425375" w:rsidRDefault="00425375" w:rsidP="00425375">
      <w:r>
        <w:tab/>
      </w:r>
      <w:r>
        <w:tab/>
      </w:r>
      <w:r>
        <w:tab/>
        <w:t>24-19 points</w:t>
      </w:r>
      <w:r>
        <w:tab/>
        <w:t>18-12 points</w:t>
      </w:r>
      <w:r>
        <w:tab/>
        <w:t xml:space="preserve">  11-</w:t>
      </w:r>
      <w:proofErr w:type="gramStart"/>
      <w:r>
        <w:t>6  points</w:t>
      </w:r>
      <w:proofErr w:type="gramEnd"/>
      <w:r>
        <w:tab/>
        <w:t xml:space="preserve">    5-0  points</w:t>
      </w:r>
    </w:p>
    <w:tbl>
      <w:tblPr>
        <w:tblStyle w:val="TableGrid"/>
        <w:tblW w:w="0" w:type="auto"/>
        <w:tblInd w:w="0" w:type="dxa"/>
        <w:tblLook w:val="04A0" w:firstRow="1" w:lastRow="0" w:firstColumn="1" w:lastColumn="0" w:noHBand="0" w:noVBand="1"/>
      </w:tblPr>
      <w:tblGrid>
        <w:gridCol w:w="1672"/>
        <w:gridCol w:w="1593"/>
        <w:gridCol w:w="1681"/>
        <w:gridCol w:w="1614"/>
        <w:gridCol w:w="1614"/>
        <w:gridCol w:w="1176"/>
      </w:tblGrid>
      <w:tr w:rsidR="00425375" w14:paraId="39742DEB" w14:textId="77777777" w:rsidTr="00425375">
        <w:trPr>
          <w:trHeight w:val="1440"/>
        </w:trPr>
        <w:tc>
          <w:tcPr>
            <w:tcW w:w="1672" w:type="dxa"/>
            <w:tcBorders>
              <w:top w:val="single" w:sz="4" w:space="0" w:color="auto"/>
              <w:left w:val="single" w:sz="4" w:space="0" w:color="auto"/>
              <w:bottom w:val="single" w:sz="4" w:space="0" w:color="auto"/>
              <w:right w:val="single" w:sz="4" w:space="0" w:color="auto"/>
            </w:tcBorders>
            <w:hideMark/>
          </w:tcPr>
          <w:p w14:paraId="4B009F57" w14:textId="77777777" w:rsidR="00425375" w:rsidRDefault="00425375">
            <w:r>
              <w:t>Introduction &amp; Thesis</w:t>
            </w:r>
          </w:p>
        </w:tc>
        <w:tc>
          <w:tcPr>
            <w:tcW w:w="1593" w:type="dxa"/>
            <w:tcBorders>
              <w:top w:val="single" w:sz="4" w:space="0" w:color="auto"/>
              <w:left w:val="single" w:sz="4" w:space="0" w:color="auto"/>
              <w:bottom w:val="single" w:sz="4" w:space="0" w:color="auto"/>
              <w:right w:val="single" w:sz="4" w:space="0" w:color="auto"/>
            </w:tcBorders>
            <w:hideMark/>
          </w:tcPr>
          <w:p w14:paraId="71EDBB46" w14:textId="77777777" w:rsidR="00425375" w:rsidRDefault="00425375">
            <w:pPr>
              <w:rPr>
                <w:sz w:val="20"/>
                <w:szCs w:val="20"/>
              </w:rPr>
            </w:pPr>
            <w:r>
              <w:rPr>
                <w:sz w:val="20"/>
                <w:szCs w:val="20"/>
              </w:rPr>
              <w:t>Intro. is specific, creates critical frame, using theorist. Thesis is clear, concrete, (focused on text), creates map for argument.</w:t>
            </w:r>
          </w:p>
        </w:tc>
        <w:tc>
          <w:tcPr>
            <w:tcW w:w="1681" w:type="dxa"/>
            <w:tcBorders>
              <w:top w:val="single" w:sz="4" w:space="0" w:color="auto"/>
              <w:left w:val="single" w:sz="4" w:space="0" w:color="auto"/>
              <w:bottom w:val="single" w:sz="4" w:space="0" w:color="auto"/>
              <w:right w:val="single" w:sz="4" w:space="0" w:color="auto"/>
            </w:tcBorders>
            <w:hideMark/>
          </w:tcPr>
          <w:p w14:paraId="48365122" w14:textId="77777777" w:rsidR="00425375" w:rsidRDefault="00425375">
            <w:pPr>
              <w:rPr>
                <w:sz w:val="20"/>
                <w:szCs w:val="20"/>
              </w:rPr>
            </w:pPr>
            <w:r>
              <w:rPr>
                <w:sz w:val="20"/>
                <w:szCs w:val="20"/>
              </w:rPr>
              <w:t>Critical framework is established.  Needs more bridge to text. Thesis is evident, but not entirely concrete or clear.</w:t>
            </w:r>
          </w:p>
        </w:tc>
        <w:tc>
          <w:tcPr>
            <w:tcW w:w="1614" w:type="dxa"/>
            <w:tcBorders>
              <w:top w:val="single" w:sz="4" w:space="0" w:color="auto"/>
              <w:left w:val="single" w:sz="4" w:space="0" w:color="auto"/>
              <w:bottom w:val="single" w:sz="4" w:space="0" w:color="auto"/>
              <w:right w:val="single" w:sz="4" w:space="0" w:color="auto"/>
            </w:tcBorders>
            <w:hideMark/>
          </w:tcPr>
          <w:p w14:paraId="66D363FC" w14:textId="77777777" w:rsidR="00425375" w:rsidRDefault="00425375">
            <w:pPr>
              <w:rPr>
                <w:sz w:val="20"/>
                <w:szCs w:val="20"/>
              </w:rPr>
            </w:pPr>
            <w:r>
              <w:rPr>
                <w:sz w:val="20"/>
                <w:szCs w:val="20"/>
              </w:rPr>
              <w:t>Use of theorist is vague.  No work on critical frame.  Thesis is vague or missing.</w:t>
            </w:r>
          </w:p>
        </w:tc>
        <w:tc>
          <w:tcPr>
            <w:tcW w:w="1614" w:type="dxa"/>
            <w:tcBorders>
              <w:top w:val="single" w:sz="4" w:space="0" w:color="auto"/>
              <w:left w:val="single" w:sz="4" w:space="0" w:color="auto"/>
              <w:bottom w:val="single" w:sz="4" w:space="0" w:color="auto"/>
              <w:right w:val="single" w:sz="4" w:space="0" w:color="auto"/>
            </w:tcBorders>
            <w:hideMark/>
          </w:tcPr>
          <w:p w14:paraId="56AFA432" w14:textId="77777777" w:rsidR="00425375" w:rsidRDefault="00425375">
            <w:pPr>
              <w:rPr>
                <w:sz w:val="20"/>
                <w:szCs w:val="20"/>
              </w:rPr>
            </w:pPr>
            <w:r>
              <w:rPr>
                <w:sz w:val="20"/>
                <w:szCs w:val="20"/>
              </w:rPr>
              <w:t>Little or no revision of introduction.  Thesis is missing or not sufficiently clear or relevant.</w:t>
            </w:r>
          </w:p>
        </w:tc>
        <w:tc>
          <w:tcPr>
            <w:tcW w:w="1176" w:type="dxa"/>
            <w:tcBorders>
              <w:top w:val="single" w:sz="4" w:space="0" w:color="auto"/>
              <w:left w:val="single" w:sz="4" w:space="0" w:color="auto"/>
              <w:bottom w:val="single" w:sz="4" w:space="0" w:color="auto"/>
              <w:right w:val="single" w:sz="4" w:space="0" w:color="auto"/>
            </w:tcBorders>
          </w:tcPr>
          <w:p w14:paraId="2B3AF05A" w14:textId="77777777" w:rsidR="00425375" w:rsidRDefault="00425375">
            <w:pPr>
              <w:rPr>
                <w:sz w:val="20"/>
                <w:szCs w:val="20"/>
              </w:rPr>
            </w:pPr>
          </w:p>
          <w:p w14:paraId="0F236C8A" w14:textId="77777777" w:rsidR="00425375" w:rsidRDefault="00425375">
            <w:pPr>
              <w:rPr>
                <w:sz w:val="20"/>
                <w:szCs w:val="20"/>
              </w:rPr>
            </w:pPr>
          </w:p>
          <w:p w14:paraId="5D079451" w14:textId="77777777" w:rsidR="00425375" w:rsidRDefault="00425375">
            <w:pPr>
              <w:rPr>
                <w:sz w:val="20"/>
                <w:szCs w:val="20"/>
              </w:rPr>
            </w:pPr>
          </w:p>
          <w:p w14:paraId="06D1CB62" w14:textId="77777777" w:rsidR="00425375" w:rsidRDefault="00425375">
            <w:pPr>
              <w:rPr>
                <w:sz w:val="20"/>
                <w:szCs w:val="20"/>
              </w:rPr>
            </w:pPr>
            <w:r>
              <w:rPr>
                <w:sz w:val="20"/>
                <w:szCs w:val="20"/>
              </w:rPr>
              <w:t>24</w:t>
            </w:r>
          </w:p>
        </w:tc>
      </w:tr>
      <w:tr w:rsidR="00425375" w14:paraId="4B930BA1" w14:textId="77777777" w:rsidTr="00425375">
        <w:trPr>
          <w:trHeight w:val="1440"/>
        </w:trPr>
        <w:tc>
          <w:tcPr>
            <w:tcW w:w="1672" w:type="dxa"/>
            <w:tcBorders>
              <w:top w:val="single" w:sz="4" w:space="0" w:color="auto"/>
              <w:left w:val="single" w:sz="4" w:space="0" w:color="auto"/>
              <w:bottom w:val="single" w:sz="4" w:space="0" w:color="auto"/>
              <w:right w:val="single" w:sz="4" w:space="0" w:color="auto"/>
            </w:tcBorders>
            <w:hideMark/>
          </w:tcPr>
          <w:p w14:paraId="39125681" w14:textId="77777777" w:rsidR="00425375" w:rsidRDefault="00425375">
            <w:r>
              <w:t>Transitions &amp; Paragraphs</w:t>
            </w:r>
          </w:p>
        </w:tc>
        <w:tc>
          <w:tcPr>
            <w:tcW w:w="1593" w:type="dxa"/>
            <w:tcBorders>
              <w:top w:val="single" w:sz="4" w:space="0" w:color="auto"/>
              <w:left w:val="single" w:sz="4" w:space="0" w:color="auto"/>
              <w:bottom w:val="single" w:sz="4" w:space="0" w:color="auto"/>
              <w:right w:val="single" w:sz="4" w:space="0" w:color="auto"/>
            </w:tcBorders>
            <w:hideMark/>
          </w:tcPr>
          <w:p w14:paraId="0F8D6D4E" w14:textId="77777777" w:rsidR="00425375" w:rsidRDefault="00425375">
            <w:pPr>
              <w:rPr>
                <w:sz w:val="20"/>
                <w:szCs w:val="20"/>
              </w:rPr>
            </w:pPr>
            <w:r>
              <w:rPr>
                <w:sz w:val="20"/>
                <w:szCs w:val="20"/>
              </w:rPr>
              <w:t>Transition (topic) sentences focus on ideas rather than plot. Paragraphs are organized around single claim &amp; idea.</w:t>
            </w:r>
          </w:p>
        </w:tc>
        <w:tc>
          <w:tcPr>
            <w:tcW w:w="1681" w:type="dxa"/>
            <w:tcBorders>
              <w:top w:val="single" w:sz="4" w:space="0" w:color="auto"/>
              <w:left w:val="single" w:sz="4" w:space="0" w:color="auto"/>
              <w:bottom w:val="single" w:sz="4" w:space="0" w:color="auto"/>
              <w:right w:val="single" w:sz="4" w:space="0" w:color="auto"/>
            </w:tcBorders>
            <w:hideMark/>
          </w:tcPr>
          <w:p w14:paraId="3FA70607" w14:textId="77777777" w:rsidR="00425375" w:rsidRDefault="00425375">
            <w:pPr>
              <w:rPr>
                <w:sz w:val="20"/>
                <w:szCs w:val="20"/>
              </w:rPr>
            </w:pPr>
            <w:r>
              <w:rPr>
                <w:sz w:val="20"/>
                <w:szCs w:val="20"/>
              </w:rPr>
              <w:t>A few transitions remain about plot. Works on paragraph structure but needs more.</w:t>
            </w:r>
          </w:p>
        </w:tc>
        <w:tc>
          <w:tcPr>
            <w:tcW w:w="1614" w:type="dxa"/>
            <w:tcBorders>
              <w:top w:val="single" w:sz="4" w:space="0" w:color="auto"/>
              <w:left w:val="single" w:sz="4" w:space="0" w:color="auto"/>
              <w:bottom w:val="single" w:sz="4" w:space="0" w:color="auto"/>
              <w:right w:val="single" w:sz="4" w:space="0" w:color="auto"/>
            </w:tcBorders>
            <w:hideMark/>
          </w:tcPr>
          <w:p w14:paraId="059F1955" w14:textId="77777777" w:rsidR="00425375" w:rsidRDefault="00425375">
            <w:pPr>
              <w:rPr>
                <w:sz w:val="20"/>
                <w:szCs w:val="20"/>
              </w:rPr>
            </w:pPr>
            <w:r>
              <w:rPr>
                <w:sz w:val="20"/>
                <w:szCs w:val="20"/>
              </w:rPr>
              <w:t>Transitions remain focused on plot rather than ideas. Paragraphs too clumsy.</w:t>
            </w:r>
          </w:p>
        </w:tc>
        <w:tc>
          <w:tcPr>
            <w:tcW w:w="1614" w:type="dxa"/>
            <w:tcBorders>
              <w:top w:val="single" w:sz="4" w:space="0" w:color="auto"/>
              <w:left w:val="single" w:sz="4" w:space="0" w:color="auto"/>
              <w:bottom w:val="single" w:sz="4" w:space="0" w:color="auto"/>
              <w:right w:val="single" w:sz="4" w:space="0" w:color="auto"/>
            </w:tcBorders>
            <w:hideMark/>
          </w:tcPr>
          <w:p w14:paraId="439B7CBD" w14:textId="77777777" w:rsidR="00425375" w:rsidRDefault="00425375">
            <w:pPr>
              <w:rPr>
                <w:sz w:val="20"/>
                <w:szCs w:val="20"/>
              </w:rPr>
            </w:pPr>
            <w:r>
              <w:rPr>
                <w:sz w:val="20"/>
                <w:szCs w:val="20"/>
              </w:rPr>
              <w:t xml:space="preserve">Transitions not revised and remain descriptions of plot rather than ideas.  </w:t>
            </w:r>
            <w:proofErr w:type="gramStart"/>
            <w:r>
              <w:rPr>
                <w:sz w:val="20"/>
                <w:szCs w:val="20"/>
              </w:rPr>
              <w:t>Paragraphs  not</w:t>
            </w:r>
            <w:proofErr w:type="gramEnd"/>
            <w:r>
              <w:rPr>
                <w:sz w:val="20"/>
                <w:szCs w:val="20"/>
              </w:rPr>
              <w:t xml:space="preserve"> well organized.</w:t>
            </w:r>
          </w:p>
        </w:tc>
        <w:tc>
          <w:tcPr>
            <w:tcW w:w="1176" w:type="dxa"/>
            <w:tcBorders>
              <w:top w:val="single" w:sz="4" w:space="0" w:color="auto"/>
              <w:left w:val="single" w:sz="4" w:space="0" w:color="auto"/>
              <w:bottom w:val="single" w:sz="4" w:space="0" w:color="auto"/>
              <w:right w:val="single" w:sz="4" w:space="0" w:color="auto"/>
            </w:tcBorders>
          </w:tcPr>
          <w:p w14:paraId="3F0D349A" w14:textId="77777777" w:rsidR="00425375" w:rsidRDefault="00425375">
            <w:pPr>
              <w:rPr>
                <w:sz w:val="20"/>
                <w:szCs w:val="20"/>
              </w:rPr>
            </w:pPr>
          </w:p>
          <w:p w14:paraId="78A7DEE5" w14:textId="77777777" w:rsidR="00425375" w:rsidRDefault="00425375">
            <w:pPr>
              <w:rPr>
                <w:sz w:val="20"/>
                <w:szCs w:val="20"/>
              </w:rPr>
            </w:pPr>
          </w:p>
          <w:p w14:paraId="5B1EE70F" w14:textId="77777777" w:rsidR="00425375" w:rsidRDefault="00425375">
            <w:pPr>
              <w:rPr>
                <w:sz w:val="20"/>
                <w:szCs w:val="20"/>
              </w:rPr>
            </w:pPr>
            <w:r>
              <w:rPr>
                <w:sz w:val="20"/>
                <w:szCs w:val="20"/>
              </w:rPr>
              <w:t>23</w:t>
            </w:r>
          </w:p>
        </w:tc>
      </w:tr>
      <w:tr w:rsidR="00425375" w14:paraId="00E67AC6" w14:textId="77777777" w:rsidTr="00425375">
        <w:trPr>
          <w:trHeight w:val="1448"/>
        </w:trPr>
        <w:tc>
          <w:tcPr>
            <w:tcW w:w="1672" w:type="dxa"/>
            <w:tcBorders>
              <w:top w:val="single" w:sz="4" w:space="0" w:color="auto"/>
              <w:left w:val="single" w:sz="4" w:space="0" w:color="auto"/>
              <w:bottom w:val="single" w:sz="4" w:space="0" w:color="auto"/>
              <w:right w:val="single" w:sz="4" w:space="0" w:color="auto"/>
            </w:tcBorders>
            <w:hideMark/>
          </w:tcPr>
          <w:p w14:paraId="63320FE1" w14:textId="77777777" w:rsidR="00425375" w:rsidRDefault="00425375">
            <w:r>
              <w:t>Analysis of Evidence</w:t>
            </w:r>
          </w:p>
        </w:tc>
        <w:tc>
          <w:tcPr>
            <w:tcW w:w="1593" w:type="dxa"/>
            <w:tcBorders>
              <w:top w:val="single" w:sz="4" w:space="0" w:color="auto"/>
              <w:left w:val="single" w:sz="4" w:space="0" w:color="auto"/>
              <w:bottom w:val="single" w:sz="4" w:space="0" w:color="auto"/>
              <w:right w:val="single" w:sz="4" w:space="0" w:color="auto"/>
            </w:tcBorders>
            <w:hideMark/>
          </w:tcPr>
          <w:p w14:paraId="12981643" w14:textId="77777777" w:rsidR="00425375" w:rsidRDefault="00425375">
            <w:pPr>
              <w:rPr>
                <w:sz w:val="20"/>
                <w:szCs w:val="20"/>
              </w:rPr>
            </w:pPr>
            <w:r>
              <w:rPr>
                <w:sz w:val="20"/>
                <w:szCs w:val="20"/>
              </w:rPr>
              <w:t>Uses and develops textual evidence.  Uses textual evidence as part of argument.</w:t>
            </w:r>
          </w:p>
        </w:tc>
        <w:tc>
          <w:tcPr>
            <w:tcW w:w="1681" w:type="dxa"/>
            <w:tcBorders>
              <w:top w:val="single" w:sz="4" w:space="0" w:color="auto"/>
              <w:left w:val="single" w:sz="4" w:space="0" w:color="auto"/>
              <w:bottom w:val="single" w:sz="4" w:space="0" w:color="auto"/>
              <w:right w:val="single" w:sz="4" w:space="0" w:color="auto"/>
            </w:tcBorders>
            <w:hideMark/>
          </w:tcPr>
          <w:p w14:paraId="6F9AD4EA" w14:textId="77777777" w:rsidR="00425375" w:rsidRDefault="00425375">
            <w:pPr>
              <w:rPr>
                <w:sz w:val="20"/>
                <w:szCs w:val="20"/>
              </w:rPr>
            </w:pPr>
            <w:r>
              <w:rPr>
                <w:sz w:val="20"/>
                <w:szCs w:val="20"/>
              </w:rPr>
              <w:t>Adds more textual evidence without further analysis.  Needs more close-reading.</w:t>
            </w:r>
          </w:p>
        </w:tc>
        <w:tc>
          <w:tcPr>
            <w:tcW w:w="1614" w:type="dxa"/>
            <w:tcBorders>
              <w:top w:val="single" w:sz="4" w:space="0" w:color="auto"/>
              <w:left w:val="single" w:sz="4" w:space="0" w:color="auto"/>
              <w:bottom w:val="single" w:sz="4" w:space="0" w:color="auto"/>
              <w:right w:val="single" w:sz="4" w:space="0" w:color="auto"/>
            </w:tcBorders>
            <w:hideMark/>
          </w:tcPr>
          <w:p w14:paraId="21E70747" w14:textId="77777777" w:rsidR="00425375" w:rsidRDefault="00425375">
            <w:pPr>
              <w:rPr>
                <w:sz w:val="20"/>
                <w:szCs w:val="20"/>
              </w:rPr>
            </w:pPr>
            <w:r>
              <w:rPr>
                <w:sz w:val="20"/>
                <w:szCs w:val="20"/>
              </w:rPr>
              <w:t>Some addition of textual evidence, but relevance is unclear.  Needs further analysis.</w:t>
            </w:r>
          </w:p>
        </w:tc>
        <w:tc>
          <w:tcPr>
            <w:tcW w:w="1614" w:type="dxa"/>
            <w:tcBorders>
              <w:top w:val="single" w:sz="4" w:space="0" w:color="auto"/>
              <w:left w:val="single" w:sz="4" w:space="0" w:color="auto"/>
              <w:bottom w:val="single" w:sz="4" w:space="0" w:color="auto"/>
              <w:right w:val="single" w:sz="4" w:space="0" w:color="auto"/>
            </w:tcBorders>
            <w:hideMark/>
          </w:tcPr>
          <w:p w14:paraId="370EE26B" w14:textId="77777777" w:rsidR="00425375" w:rsidRDefault="00425375">
            <w:pPr>
              <w:rPr>
                <w:sz w:val="20"/>
                <w:szCs w:val="20"/>
              </w:rPr>
            </w:pPr>
            <w:r>
              <w:rPr>
                <w:sz w:val="20"/>
                <w:szCs w:val="20"/>
              </w:rPr>
              <w:t>No revision of evidence, no analysis of evidence, evidence is irrelevant.</w:t>
            </w:r>
          </w:p>
        </w:tc>
        <w:tc>
          <w:tcPr>
            <w:tcW w:w="1176" w:type="dxa"/>
            <w:tcBorders>
              <w:top w:val="single" w:sz="4" w:space="0" w:color="auto"/>
              <w:left w:val="single" w:sz="4" w:space="0" w:color="auto"/>
              <w:bottom w:val="single" w:sz="4" w:space="0" w:color="auto"/>
              <w:right w:val="single" w:sz="4" w:space="0" w:color="auto"/>
            </w:tcBorders>
          </w:tcPr>
          <w:p w14:paraId="5111027B" w14:textId="77777777" w:rsidR="00425375" w:rsidRDefault="00425375">
            <w:pPr>
              <w:rPr>
                <w:sz w:val="20"/>
                <w:szCs w:val="20"/>
              </w:rPr>
            </w:pPr>
          </w:p>
          <w:p w14:paraId="1498F9D5" w14:textId="77777777" w:rsidR="00425375" w:rsidRDefault="00425375">
            <w:pPr>
              <w:rPr>
                <w:sz w:val="20"/>
                <w:szCs w:val="20"/>
              </w:rPr>
            </w:pPr>
          </w:p>
          <w:p w14:paraId="4BB52F5A" w14:textId="77777777" w:rsidR="00425375" w:rsidRDefault="00425375">
            <w:pPr>
              <w:rPr>
                <w:sz w:val="20"/>
                <w:szCs w:val="20"/>
              </w:rPr>
            </w:pPr>
            <w:r>
              <w:rPr>
                <w:sz w:val="20"/>
                <w:szCs w:val="20"/>
              </w:rPr>
              <w:t>24</w:t>
            </w:r>
          </w:p>
        </w:tc>
      </w:tr>
      <w:tr w:rsidR="00425375" w14:paraId="25A78D4F" w14:textId="77777777" w:rsidTr="00425375">
        <w:trPr>
          <w:trHeight w:val="1440"/>
        </w:trPr>
        <w:tc>
          <w:tcPr>
            <w:tcW w:w="1672" w:type="dxa"/>
            <w:tcBorders>
              <w:top w:val="single" w:sz="4" w:space="0" w:color="auto"/>
              <w:left w:val="single" w:sz="4" w:space="0" w:color="auto"/>
              <w:bottom w:val="single" w:sz="4" w:space="0" w:color="auto"/>
              <w:right w:val="single" w:sz="4" w:space="0" w:color="auto"/>
            </w:tcBorders>
            <w:hideMark/>
          </w:tcPr>
          <w:p w14:paraId="2500A0B3" w14:textId="77777777" w:rsidR="00425375" w:rsidRDefault="00425375">
            <w:r>
              <w:t>Argument</w:t>
            </w:r>
          </w:p>
        </w:tc>
        <w:tc>
          <w:tcPr>
            <w:tcW w:w="1593" w:type="dxa"/>
            <w:tcBorders>
              <w:top w:val="single" w:sz="4" w:space="0" w:color="auto"/>
              <w:left w:val="single" w:sz="4" w:space="0" w:color="auto"/>
              <w:bottom w:val="single" w:sz="4" w:space="0" w:color="auto"/>
              <w:right w:val="single" w:sz="4" w:space="0" w:color="auto"/>
            </w:tcBorders>
            <w:hideMark/>
          </w:tcPr>
          <w:p w14:paraId="2421B14C" w14:textId="77777777" w:rsidR="00425375" w:rsidRDefault="00425375">
            <w:pPr>
              <w:rPr>
                <w:sz w:val="20"/>
                <w:szCs w:val="20"/>
                <w:u w:val="single"/>
              </w:rPr>
            </w:pPr>
            <w:r>
              <w:rPr>
                <w:sz w:val="20"/>
                <w:szCs w:val="20"/>
              </w:rPr>
              <w:t xml:space="preserve">Argument develops from least to most important points. </w:t>
            </w:r>
            <w:r>
              <w:rPr>
                <w:sz w:val="20"/>
                <w:szCs w:val="20"/>
                <w:u w:val="single"/>
              </w:rPr>
              <w:t>Develops rather than repeats points.</w:t>
            </w:r>
          </w:p>
        </w:tc>
        <w:tc>
          <w:tcPr>
            <w:tcW w:w="1681" w:type="dxa"/>
            <w:tcBorders>
              <w:top w:val="single" w:sz="4" w:space="0" w:color="auto"/>
              <w:left w:val="single" w:sz="4" w:space="0" w:color="auto"/>
              <w:bottom w:val="single" w:sz="4" w:space="0" w:color="auto"/>
              <w:right w:val="single" w:sz="4" w:space="0" w:color="auto"/>
            </w:tcBorders>
            <w:hideMark/>
          </w:tcPr>
          <w:p w14:paraId="3B9B6D6A" w14:textId="77777777" w:rsidR="00425375" w:rsidRDefault="00425375">
            <w:pPr>
              <w:rPr>
                <w:sz w:val="20"/>
                <w:szCs w:val="20"/>
              </w:rPr>
            </w:pPr>
            <w:r>
              <w:rPr>
                <w:sz w:val="20"/>
                <w:szCs w:val="20"/>
              </w:rPr>
              <w:t>Keeps basic argument but develops and extends it.  Some reorganization.</w:t>
            </w:r>
          </w:p>
        </w:tc>
        <w:tc>
          <w:tcPr>
            <w:tcW w:w="1614" w:type="dxa"/>
            <w:tcBorders>
              <w:top w:val="single" w:sz="4" w:space="0" w:color="auto"/>
              <w:left w:val="single" w:sz="4" w:space="0" w:color="auto"/>
              <w:bottom w:val="single" w:sz="4" w:space="0" w:color="auto"/>
              <w:right w:val="single" w:sz="4" w:space="0" w:color="auto"/>
            </w:tcBorders>
            <w:hideMark/>
          </w:tcPr>
          <w:p w14:paraId="54C15190" w14:textId="77777777" w:rsidR="00425375" w:rsidRDefault="00425375">
            <w:pPr>
              <w:rPr>
                <w:sz w:val="20"/>
                <w:szCs w:val="20"/>
              </w:rPr>
            </w:pPr>
            <w:r>
              <w:rPr>
                <w:sz w:val="20"/>
                <w:szCs w:val="20"/>
              </w:rPr>
              <w:t>Organization better but remains in need of more work.</w:t>
            </w:r>
          </w:p>
        </w:tc>
        <w:tc>
          <w:tcPr>
            <w:tcW w:w="1614" w:type="dxa"/>
            <w:tcBorders>
              <w:top w:val="single" w:sz="4" w:space="0" w:color="auto"/>
              <w:left w:val="single" w:sz="4" w:space="0" w:color="auto"/>
              <w:bottom w:val="single" w:sz="4" w:space="0" w:color="auto"/>
              <w:right w:val="single" w:sz="4" w:space="0" w:color="auto"/>
            </w:tcBorders>
            <w:hideMark/>
          </w:tcPr>
          <w:p w14:paraId="1762DF93" w14:textId="77777777" w:rsidR="00425375" w:rsidRDefault="00425375">
            <w:pPr>
              <w:rPr>
                <w:sz w:val="20"/>
                <w:szCs w:val="20"/>
              </w:rPr>
            </w:pPr>
            <w:r>
              <w:rPr>
                <w:sz w:val="20"/>
                <w:szCs w:val="20"/>
              </w:rPr>
              <w:t>Organization needs complete overhaul.  Ends with least important point.</w:t>
            </w:r>
          </w:p>
        </w:tc>
        <w:tc>
          <w:tcPr>
            <w:tcW w:w="1176" w:type="dxa"/>
            <w:tcBorders>
              <w:top w:val="single" w:sz="4" w:space="0" w:color="auto"/>
              <w:left w:val="single" w:sz="4" w:space="0" w:color="auto"/>
              <w:bottom w:val="single" w:sz="4" w:space="0" w:color="auto"/>
              <w:right w:val="single" w:sz="4" w:space="0" w:color="auto"/>
            </w:tcBorders>
          </w:tcPr>
          <w:p w14:paraId="4727D136" w14:textId="77777777" w:rsidR="00425375" w:rsidRDefault="00425375">
            <w:pPr>
              <w:rPr>
                <w:sz w:val="20"/>
                <w:szCs w:val="20"/>
              </w:rPr>
            </w:pPr>
          </w:p>
          <w:p w14:paraId="5D91D10B" w14:textId="77777777" w:rsidR="00425375" w:rsidRDefault="00425375">
            <w:pPr>
              <w:rPr>
                <w:sz w:val="20"/>
                <w:szCs w:val="20"/>
              </w:rPr>
            </w:pPr>
          </w:p>
          <w:p w14:paraId="3E0D7753" w14:textId="77777777" w:rsidR="00425375" w:rsidRDefault="00425375">
            <w:pPr>
              <w:rPr>
                <w:sz w:val="20"/>
                <w:szCs w:val="20"/>
              </w:rPr>
            </w:pPr>
            <w:r>
              <w:rPr>
                <w:sz w:val="20"/>
                <w:szCs w:val="20"/>
              </w:rPr>
              <w:t>25</w:t>
            </w:r>
          </w:p>
        </w:tc>
      </w:tr>
      <w:tr w:rsidR="00425375" w14:paraId="1798BD79" w14:textId="77777777" w:rsidTr="00425375">
        <w:trPr>
          <w:trHeight w:val="1440"/>
        </w:trPr>
        <w:tc>
          <w:tcPr>
            <w:tcW w:w="1672" w:type="dxa"/>
            <w:tcBorders>
              <w:top w:val="single" w:sz="4" w:space="0" w:color="auto"/>
              <w:left w:val="single" w:sz="4" w:space="0" w:color="auto"/>
              <w:bottom w:val="single" w:sz="4" w:space="0" w:color="auto"/>
              <w:right w:val="single" w:sz="4" w:space="0" w:color="auto"/>
            </w:tcBorders>
            <w:hideMark/>
          </w:tcPr>
          <w:p w14:paraId="27E4E798" w14:textId="77777777" w:rsidR="00425375" w:rsidRDefault="00425375">
            <w:r>
              <w:t>Quality of Writing</w:t>
            </w:r>
          </w:p>
        </w:tc>
        <w:tc>
          <w:tcPr>
            <w:tcW w:w="1593" w:type="dxa"/>
            <w:tcBorders>
              <w:top w:val="single" w:sz="4" w:space="0" w:color="auto"/>
              <w:left w:val="single" w:sz="4" w:space="0" w:color="auto"/>
              <w:bottom w:val="single" w:sz="4" w:space="0" w:color="auto"/>
              <w:right w:val="single" w:sz="4" w:space="0" w:color="auto"/>
            </w:tcBorders>
            <w:hideMark/>
          </w:tcPr>
          <w:p w14:paraId="1395682C" w14:textId="77777777" w:rsidR="00425375" w:rsidRDefault="00425375">
            <w:pPr>
              <w:rPr>
                <w:sz w:val="20"/>
                <w:szCs w:val="20"/>
              </w:rPr>
            </w:pPr>
            <w:r>
              <w:rPr>
                <w:sz w:val="20"/>
                <w:szCs w:val="20"/>
              </w:rPr>
              <w:t xml:space="preserve">Prose is clear, no problems with, punctuation, grammar, pronouns, etc. </w:t>
            </w:r>
            <w:r>
              <w:rPr>
                <w:sz w:val="20"/>
                <w:szCs w:val="20"/>
                <w:u w:val="single"/>
              </w:rPr>
              <w:t>Proofreads!</w:t>
            </w:r>
            <w:r>
              <w:rPr>
                <w:sz w:val="20"/>
                <w:szCs w:val="20"/>
              </w:rPr>
              <w:t xml:space="preserve"> Word choice. </w:t>
            </w:r>
          </w:p>
        </w:tc>
        <w:tc>
          <w:tcPr>
            <w:tcW w:w="1681" w:type="dxa"/>
            <w:tcBorders>
              <w:top w:val="single" w:sz="4" w:space="0" w:color="auto"/>
              <w:left w:val="single" w:sz="4" w:space="0" w:color="auto"/>
              <w:bottom w:val="single" w:sz="4" w:space="0" w:color="auto"/>
              <w:right w:val="single" w:sz="4" w:space="0" w:color="auto"/>
            </w:tcBorders>
            <w:hideMark/>
          </w:tcPr>
          <w:p w14:paraId="65CA0B11" w14:textId="77777777" w:rsidR="00425375" w:rsidRDefault="00425375">
            <w:pPr>
              <w:rPr>
                <w:sz w:val="20"/>
                <w:szCs w:val="20"/>
              </w:rPr>
            </w:pPr>
            <w:r>
              <w:rPr>
                <w:sz w:val="20"/>
                <w:szCs w:val="20"/>
              </w:rPr>
              <w:t>Some problems with lucidity, grammar, punctuation.  Needs to work on sentence structure and clarity.</w:t>
            </w:r>
          </w:p>
        </w:tc>
        <w:tc>
          <w:tcPr>
            <w:tcW w:w="1614" w:type="dxa"/>
            <w:tcBorders>
              <w:top w:val="single" w:sz="4" w:space="0" w:color="auto"/>
              <w:left w:val="single" w:sz="4" w:space="0" w:color="auto"/>
              <w:bottom w:val="single" w:sz="4" w:space="0" w:color="auto"/>
              <w:right w:val="single" w:sz="4" w:space="0" w:color="auto"/>
            </w:tcBorders>
            <w:hideMark/>
          </w:tcPr>
          <w:p w14:paraId="13177607" w14:textId="77777777" w:rsidR="00425375" w:rsidRDefault="00425375">
            <w:pPr>
              <w:rPr>
                <w:sz w:val="20"/>
                <w:szCs w:val="20"/>
              </w:rPr>
            </w:pPr>
            <w:r>
              <w:rPr>
                <w:sz w:val="20"/>
                <w:szCs w:val="20"/>
              </w:rPr>
              <w:t>Problems with clarity, punctuation, grammar, etc.</w:t>
            </w:r>
          </w:p>
        </w:tc>
        <w:tc>
          <w:tcPr>
            <w:tcW w:w="1614" w:type="dxa"/>
            <w:tcBorders>
              <w:top w:val="single" w:sz="4" w:space="0" w:color="auto"/>
              <w:left w:val="single" w:sz="4" w:space="0" w:color="auto"/>
              <w:bottom w:val="single" w:sz="4" w:space="0" w:color="auto"/>
              <w:right w:val="single" w:sz="4" w:space="0" w:color="auto"/>
            </w:tcBorders>
            <w:hideMark/>
          </w:tcPr>
          <w:p w14:paraId="06179EC6" w14:textId="77777777" w:rsidR="00425375" w:rsidRDefault="00425375">
            <w:pPr>
              <w:rPr>
                <w:sz w:val="20"/>
                <w:szCs w:val="20"/>
              </w:rPr>
            </w:pPr>
            <w:r>
              <w:rPr>
                <w:sz w:val="20"/>
                <w:szCs w:val="20"/>
              </w:rPr>
              <w:t>Serious problems with clarity, punctuation, etc.</w:t>
            </w:r>
          </w:p>
        </w:tc>
        <w:tc>
          <w:tcPr>
            <w:tcW w:w="1176" w:type="dxa"/>
            <w:tcBorders>
              <w:top w:val="single" w:sz="4" w:space="0" w:color="auto"/>
              <w:left w:val="single" w:sz="4" w:space="0" w:color="auto"/>
              <w:bottom w:val="single" w:sz="4" w:space="0" w:color="auto"/>
              <w:right w:val="single" w:sz="4" w:space="0" w:color="auto"/>
            </w:tcBorders>
          </w:tcPr>
          <w:p w14:paraId="5332B632" w14:textId="77777777" w:rsidR="00425375" w:rsidRDefault="00425375">
            <w:pPr>
              <w:rPr>
                <w:sz w:val="20"/>
                <w:szCs w:val="20"/>
              </w:rPr>
            </w:pPr>
          </w:p>
          <w:p w14:paraId="5B8472B4" w14:textId="77777777" w:rsidR="00425375" w:rsidRDefault="00425375">
            <w:pPr>
              <w:rPr>
                <w:sz w:val="20"/>
                <w:szCs w:val="20"/>
              </w:rPr>
            </w:pPr>
          </w:p>
          <w:p w14:paraId="03315BBB" w14:textId="77777777" w:rsidR="00425375" w:rsidRDefault="00425375">
            <w:pPr>
              <w:rPr>
                <w:sz w:val="20"/>
                <w:szCs w:val="20"/>
              </w:rPr>
            </w:pPr>
            <w:r>
              <w:rPr>
                <w:sz w:val="20"/>
                <w:szCs w:val="20"/>
              </w:rPr>
              <w:t>24</w:t>
            </w:r>
          </w:p>
        </w:tc>
      </w:tr>
    </w:tbl>
    <w:p w14:paraId="59A988B3" w14:textId="77777777" w:rsidR="00425375" w:rsidRDefault="00425375" w:rsidP="00425375">
      <w:pPr>
        <w:rPr>
          <w:szCs w:val="22"/>
        </w:rPr>
      </w:pPr>
    </w:p>
    <w:p w14:paraId="57EE1F48" w14:textId="77777777" w:rsidR="00425375" w:rsidRDefault="00425375" w:rsidP="00425375">
      <w:r>
        <w:t>Grade:   120   Comments:  Zo</w:t>
      </w:r>
      <w:r>
        <w:rPr>
          <w:rFonts w:cs="Times New Roman"/>
        </w:rPr>
        <w:t>ë</w:t>
      </w:r>
      <w:r>
        <w:t>:  It’s a terrific essay.  Your focus on the escalator rewards the reader with a rich and insightful discussion of the novel.  You make excellent use of Bill Brown, but I think the real strength of your essay is the way you engage the novel in such a rich and complex manner.  You get it, which is not an easy thing to do!  Thanks for this and all your great work this quarter!</w:t>
      </w:r>
    </w:p>
    <w:p w14:paraId="6532E858" w14:textId="77777777" w:rsidR="00425375" w:rsidRDefault="00425375" w:rsidP="00425375"/>
    <w:p w14:paraId="6B7C2A45" w14:textId="77777777" w:rsidR="00425375" w:rsidRDefault="00425375" w:rsidP="00EA767D">
      <w:pPr>
        <w:spacing w:line="480" w:lineRule="auto"/>
        <w:ind w:firstLine="720"/>
        <w:rPr>
          <w:rFonts w:ascii="Times New Roman" w:hAnsi="Times New Roman" w:cs="Times New Roman"/>
        </w:rPr>
      </w:pPr>
    </w:p>
    <w:p w14:paraId="33CFD980" w14:textId="4696A937" w:rsidR="00034CB3" w:rsidRDefault="00034CB3" w:rsidP="005B30F1">
      <w:pPr>
        <w:spacing w:line="480" w:lineRule="auto"/>
        <w:rPr>
          <w:rFonts w:ascii="Times New Roman" w:hAnsi="Times New Roman" w:cs="Times New Roman"/>
        </w:rPr>
      </w:pPr>
      <w:r>
        <w:rPr>
          <w:rFonts w:ascii="Times New Roman" w:hAnsi="Times New Roman" w:cs="Times New Roman"/>
        </w:rPr>
        <w:lastRenderedPageBreak/>
        <w:br w:type="page"/>
      </w:r>
    </w:p>
    <w:p w14:paraId="4FAB32CD" w14:textId="301292A5" w:rsidR="004B6D12" w:rsidRDefault="00034CB3" w:rsidP="005B30F1">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C22CC40" w14:textId="6A4E8A29" w:rsidR="00034CB3" w:rsidRDefault="00034CB3" w:rsidP="005B30F1">
      <w:pPr>
        <w:spacing w:line="480" w:lineRule="auto"/>
        <w:rPr>
          <w:rFonts w:ascii="Times New Roman" w:eastAsia="Times New Roman" w:hAnsi="Times New Roman" w:cs="Times New Roman"/>
          <w:color w:val="333333"/>
          <w:shd w:val="clear" w:color="auto" w:fill="FFFFFF"/>
          <w:lang w:eastAsia="ja-JP"/>
        </w:rPr>
      </w:pPr>
      <w:r w:rsidRPr="00034CB3">
        <w:rPr>
          <w:rFonts w:ascii="Times New Roman" w:eastAsia="Times New Roman" w:hAnsi="Times New Roman" w:cs="Times New Roman"/>
          <w:color w:val="333333"/>
          <w:shd w:val="clear" w:color="auto" w:fill="FFFFFF"/>
          <w:lang w:eastAsia="ja-JP"/>
        </w:rPr>
        <w:t>Baker, Nicholson. </w:t>
      </w:r>
      <w:r w:rsidRPr="00034CB3">
        <w:rPr>
          <w:rFonts w:ascii="Times New Roman" w:eastAsia="Times New Roman" w:hAnsi="Times New Roman" w:cs="Times New Roman"/>
          <w:i/>
          <w:iCs/>
          <w:color w:val="333333"/>
          <w:shd w:val="clear" w:color="auto" w:fill="FFFFFF"/>
          <w:lang w:eastAsia="ja-JP"/>
        </w:rPr>
        <w:t>The Mezzanine</w:t>
      </w:r>
      <w:r w:rsidRPr="00034CB3">
        <w:rPr>
          <w:rFonts w:ascii="Times New Roman" w:eastAsia="Times New Roman" w:hAnsi="Times New Roman" w:cs="Times New Roman"/>
          <w:color w:val="333333"/>
          <w:shd w:val="clear" w:color="auto" w:fill="FFFFFF"/>
          <w:lang w:eastAsia="ja-JP"/>
        </w:rPr>
        <w:t>. Vintage Contemporaries, 1990.</w:t>
      </w:r>
    </w:p>
    <w:p w14:paraId="0BFFA4D6" w14:textId="61856772" w:rsidR="00034CB3" w:rsidRPr="003175EA" w:rsidRDefault="00034CB3" w:rsidP="003175EA">
      <w:pPr>
        <w:spacing w:line="480" w:lineRule="auto"/>
        <w:rPr>
          <w:rFonts w:ascii="Times New Roman" w:eastAsia="Times New Roman" w:hAnsi="Times New Roman" w:cs="Times New Roman"/>
          <w:color w:val="333333"/>
          <w:shd w:val="clear" w:color="auto" w:fill="FFFFFF"/>
          <w:lang w:eastAsia="ja-JP"/>
        </w:rPr>
      </w:pPr>
      <w:r w:rsidRPr="00034CB3">
        <w:rPr>
          <w:rFonts w:ascii="Times New Roman" w:eastAsia="Times New Roman" w:hAnsi="Times New Roman" w:cs="Times New Roman"/>
          <w:color w:val="333333"/>
          <w:shd w:val="clear" w:color="auto" w:fill="FFFFFF"/>
          <w:lang w:eastAsia="ja-JP"/>
        </w:rPr>
        <w:t>Brown, Bill. “Thing Theory.” </w:t>
      </w:r>
      <w:r w:rsidRPr="00034CB3">
        <w:rPr>
          <w:rFonts w:ascii="Times New Roman" w:eastAsia="Times New Roman" w:hAnsi="Times New Roman" w:cs="Times New Roman"/>
          <w:i/>
          <w:iCs/>
          <w:color w:val="333333"/>
          <w:lang w:eastAsia="ja-JP"/>
        </w:rPr>
        <w:t>Critical Inquiry</w:t>
      </w:r>
      <w:r w:rsidRPr="00034CB3">
        <w:rPr>
          <w:rFonts w:ascii="Times New Roman" w:eastAsia="Times New Roman" w:hAnsi="Times New Roman" w:cs="Times New Roman"/>
          <w:color w:val="333333"/>
          <w:shd w:val="clear" w:color="auto" w:fill="FFFFFF"/>
          <w:lang w:eastAsia="ja-JP"/>
        </w:rPr>
        <w:t>, vol. 28, no. 1, 2001, pp. 1–22. </w:t>
      </w:r>
      <w:r w:rsidRPr="00034CB3">
        <w:rPr>
          <w:rFonts w:ascii="Times New Roman" w:eastAsia="Times New Roman" w:hAnsi="Times New Roman" w:cs="Times New Roman"/>
          <w:i/>
          <w:iCs/>
          <w:color w:val="333333"/>
          <w:lang w:eastAsia="ja-JP"/>
        </w:rPr>
        <w:t>JSTOR</w:t>
      </w:r>
      <w:r w:rsidRPr="00034CB3">
        <w:rPr>
          <w:rFonts w:ascii="Times New Roman" w:eastAsia="Times New Roman" w:hAnsi="Times New Roman" w:cs="Times New Roman"/>
          <w:color w:val="333333"/>
          <w:shd w:val="clear" w:color="auto" w:fill="FFFFFF"/>
          <w:lang w:eastAsia="ja-JP"/>
        </w:rPr>
        <w:t xml:space="preserve">, </w:t>
      </w:r>
      <w:r>
        <w:rPr>
          <w:rFonts w:ascii="Times New Roman" w:eastAsia="Times New Roman" w:hAnsi="Times New Roman" w:cs="Times New Roman"/>
          <w:color w:val="333333"/>
          <w:shd w:val="clear" w:color="auto" w:fill="FFFFFF"/>
          <w:lang w:eastAsia="ja-JP"/>
        </w:rPr>
        <w:tab/>
      </w:r>
      <w:r w:rsidRPr="00034CB3">
        <w:rPr>
          <w:rFonts w:ascii="Times New Roman" w:eastAsia="Times New Roman" w:hAnsi="Times New Roman" w:cs="Times New Roman"/>
          <w:color w:val="333333"/>
          <w:shd w:val="clear" w:color="auto" w:fill="FFFFFF"/>
          <w:lang w:eastAsia="ja-JP"/>
        </w:rPr>
        <w:t>www.jstor.org/stable/1344258.</w:t>
      </w:r>
    </w:p>
    <w:p w14:paraId="6E0281B3" w14:textId="77777777" w:rsidR="00034CB3" w:rsidRPr="00034CB3" w:rsidRDefault="00034CB3" w:rsidP="005B30F1">
      <w:pPr>
        <w:spacing w:line="480" w:lineRule="auto"/>
        <w:rPr>
          <w:rFonts w:ascii="Times" w:eastAsia="Times New Roman" w:hAnsi="Times" w:cs="Times New Roman"/>
          <w:sz w:val="20"/>
          <w:szCs w:val="20"/>
          <w:lang w:eastAsia="ja-JP"/>
        </w:rPr>
      </w:pPr>
    </w:p>
    <w:p w14:paraId="7F5C2EFC" w14:textId="77777777" w:rsidR="00034CB3" w:rsidRDefault="00034CB3" w:rsidP="005B30F1">
      <w:pPr>
        <w:spacing w:line="480" w:lineRule="auto"/>
        <w:ind w:firstLine="720"/>
        <w:jc w:val="center"/>
        <w:rPr>
          <w:rFonts w:ascii="Times New Roman" w:hAnsi="Times New Roman" w:cs="Times New Roman"/>
        </w:rPr>
      </w:pPr>
    </w:p>
    <w:p w14:paraId="785C5EB3" w14:textId="77777777" w:rsidR="00034CB3" w:rsidRPr="001F7F23" w:rsidRDefault="00034CB3" w:rsidP="005B30F1">
      <w:pPr>
        <w:spacing w:line="480" w:lineRule="auto"/>
        <w:ind w:firstLine="720"/>
        <w:rPr>
          <w:rFonts w:ascii="Times New Roman" w:hAnsi="Times New Roman" w:cs="Times New Roman"/>
        </w:rPr>
      </w:pPr>
    </w:p>
    <w:p w14:paraId="2651B56E" w14:textId="56EFD48E" w:rsidR="00595680" w:rsidRPr="009F0FCD" w:rsidRDefault="004B6D12" w:rsidP="005B30F1">
      <w:pPr>
        <w:spacing w:line="480" w:lineRule="auto"/>
        <w:ind w:firstLine="720"/>
        <w:rPr>
          <w:rFonts w:ascii="Times New Roman" w:hAnsi="Times New Roman" w:cs="Times New Roman"/>
        </w:rPr>
      </w:pPr>
      <w:r>
        <w:rPr>
          <w:rFonts w:ascii="Times New Roman" w:hAnsi="Times New Roman" w:cs="Times New Roman"/>
        </w:rPr>
        <w:t xml:space="preserve"> </w:t>
      </w:r>
    </w:p>
    <w:sectPr w:rsidR="00595680" w:rsidRPr="009F0FCD" w:rsidSect="00C51E0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Patterson" w:date="2019-06-14T11:33:00Z" w:initials="MP">
    <w:p w14:paraId="5F449F3E" w14:textId="3E93A760" w:rsidR="0027626C" w:rsidRDefault="0027626C">
      <w:pPr>
        <w:pStyle w:val="CommentText"/>
      </w:pPr>
      <w:r>
        <w:rPr>
          <w:rStyle w:val="CommentReference"/>
        </w:rPr>
        <w:annotationRef/>
      </w:r>
      <w:r>
        <w:t>Really nice discussion here!</w:t>
      </w:r>
    </w:p>
  </w:comment>
  <w:comment w:id="2" w:author="Mark Patterson" w:date="2019-06-14T11:35:00Z" w:initials="MP">
    <w:p w14:paraId="4188E1DF" w14:textId="41070ECF" w:rsidR="0027626C" w:rsidRDefault="0027626C">
      <w:pPr>
        <w:pStyle w:val="CommentText"/>
      </w:pPr>
      <w:r>
        <w:rPr>
          <w:rStyle w:val="CommentReference"/>
        </w:rPr>
        <w:annotationRef/>
      </w:r>
      <w:r>
        <w:t>Great introduction.  You get a lot of work done on your frame!</w:t>
      </w:r>
    </w:p>
  </w:comment>
  <w:comment w:id="3" w:author="Mark Patterson" w:date="2019-06-14T11:36:00Z" w:initials="MP">
    <w:p w14:paraId="46CFE813" w14:textId="28470DDE" w:rsidR="0027626C" w:rsidRDefault="0027626C">
      <w:pPr>
        <w:pStyle w:val="CommentText"/>
      </w:pPr>
      <w:r>
        <w:rPr>
          <w:rStyle w:val="CommentReference"/>
        </w:rPr>
        <w:annotationRef/>
      </w:r>
      <w:r>
        <w:t>Nice quote and discussion here!</w:t>
      </w:r>
    </w:p>
  </w:comment>
  <w:comment w:id="4" w:author="Mark Patterson" w:date="2019-06-14T11:36:00Z" w:initials="MP">
    <w:p w14:paraId="48EBCA3A" w14:textId="40676D37" w:rsidR="0027626C" w:rsidRDefault="0027626C">
      <w:pPr>
        <w:pStyle w:val="CommentText"/>
      </w:pPr>
      <w:r>
        <w:rPr>
          <w:rStyle w:val="CommentReference"/>
        </w:rPr>
        <w:annotationRef/>
      </w:r>
      <w:r>
        <w:t>Great point of connection.</w:t>
      </w:r>
    </w:p>
  </w:comment>
  <w:comment w:id="5" w:author="Mark Patterson" w:date="2019-06-14T11:37:00Z" w:initials="MP">
    <w:p w14:paraId="5AD59DC9" w14:textId="4C3E9E4F" w:rsidR="0027626C" w:rsidRDefault="0027626C">
      <w:pPr>
        <w:pStyle w:val="CommentText"/>
      </w:pPr>
      <w:r>
        <w:rPr>
          <w:rStyle w:val="CommentReference"/>
        </w:rPr>
        <w:annotationRef/>
      </w:r>
      <w:r>
        <w:t xml:space="preserve">Wow, this is a long, long paragraph!  But it doesn’t “read” long, since you keep your focus and bring in a lot of material.  Still, I think you could break it up to show different aspects of how the escalator functions in its thingness to reveal Howie’s thingness.  </w:t>
      </w:r>
    </w:p>
  </w:comment>
  <w:comment w:id="6" w:author="Mark Patterson" w:date="2019-06-14T11:40:00Z" w:initials="MP">
    <w:p w14:paraId="194C1438" w14:textId="738D3D42" w:rsidR="0027626C" w:rsidRDefault="0027626C">
      <w:pPr>
        <w:pStyle w:val="CommentText"/>
      </w:pPr>
      <w:r>
        <w:rPr>
          <w:rStyle w:val="CommentReference"/>
        </w:rPr>
        <w:annotationRef/>
      </w:r>
      <w:r>
        <w:t xml:space="preserve">Nice point!  This paradox is also a part of thingness.  </w:t>
      </w:r>
    </w:p>
  </w:comment>
  <w:comment w:id="7" w:author="Mark Patterson" w:date="2019-06-14T11:42:00Z" w:initials="MP">
    <w:p w14:paraId="0C73F61B" w14:textId="39848085" w:rsidR="0027626C" w:rsidRDefault="0027626C">
      <w:pPr>
        <w:pStyle w:val="CommentText"/>
      </w:pPr>
      <w:r>
        <w:rPr>
          <w:rStyle w:val="CommentReference"/>
        </w:rPr>
        <w:annotationRef/>
      </w:r>
      <w:r>
        <w:t>Nice point.</w:t>
      </w:r>
    </w:p>
  </w:comment>
  <w:comment w:id="8" w:author="Mark Patterson" w:date="2019-06-14T11:43:00Z" w:initials="MP">
    <w:p w14:paraId="2B434CA7" w14:textId="14FA1E50" w:rsidR="0027626C" w:rsidRDefault="0027626C">
      <w:pPr>
        <w:pStyle w:val="CommentText"/>
      </w:pPr>
      <w:r>
        <w:rPr>
          <w:rStyle w:val="CommentReference"/>
        </w:rPr>
        <w:annotationRef/>
      </w:r>
      <w:r>
        <w:t>It “meliorates” them!</w:t>
      </w:r>
    </w:p>
  </w:comment>
  <w:comment w:id="9" w:author="Mark Patterson" w:date="2019-06-14T11:45:00Z" w:initials="MP">
    <w:p w14:paraId="0221E734" w14:textId="731D6E55" w:rsidR="00425375" w:rsidRDefault="00425375">
      <w:pPr>
        <w:pStyle w:val="CommentText"/>
      </w:pPr>
      <w:r>
        <w:rPr>
          <w:rStyle w:val="CommentReference"/>
        </w:rPr>
        <w:annotationRef/>
      </w:r>
      <w:r>
        <w:t>Nice point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49F3E" w15:done="0"/>
  <w15:commentEx w15:paraId="4188E1DF" w15:done="0"/>
  <w15:commentEx w15:paraId="46CFE813" w15:done="0"/>
  <w15:commentEx w15:paraId="48EBCA3A" w15:done="0"/>
  <w15:commentEx w15:paraId="5AD59DC9" w15:done="0"/>
  <w15:commentEx w15:paraId="194C1438" w15:done="0"/>
  <w15:commentEx w15:paraId="0C73F61B" w15:done="0"/>
  <w15:commentEx w15:paraId="2B434CA7" w15:done="0"/>
  <w15:commentEx w15:paraId="0221E7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49F3E" w16cid:durableId="20AE0496"/>
  <w16cid:commentId w16cid:paraId="4188E1DF" w16cid:durableId="20AE04ED"/>
  <w16cid:commentId w16cid:paraId="46CFE813" w16cid:durableId="20AE053A"/>
  <w16cid:commentId w16cid:paraId="48EBCA3A" w16cid:durableId="20AE0557"/>
  <w16cid:commentId w16cid:paraId="5AD59DC9" w16cid:durableId="20AE0597"/>
  <w16cid:commentId w16cid:paraId="194C1438" w16cid:durableId="20AE063A"/>
  <w16cid:commentId w16cid:paraId="0C73F61B" w16cid:durableId="20AE069A"/>
  <w16cid:commentId w16cid:paraId="2B434CA7" w16cid:durableId="20AE06D1"/>
  <w16cid:commentId w16cid:paraId="0221E734" w16cid:durableId="20AE075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09267" w14:textId="77777777" w:rsidR="00FF517E" w:rsidRDefault="00FF517E" w:rsidP="007571C1">
      <w:r>
        <w:separator/>
      </w:r>
    </w:p>
  </w:endnote>
  <w:endnote w:type="continuationSeparator" w:id="0">
    <w:p w14:paraId="364C54E4" w14:textId="77777777" w:rsidR="00FF517E" w:rsidRDefault="00FF517E" w:rsidP="0075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8CAC" w14:textId="77777777" w:rsidR="00FF517E" w:rsidRPr="007571C1" w:rsidRDefault="00FF517E" w:rsidP="007571C1">
    <w:pPr>
      <w:pStyle w:val="Footer"/>
      <w:jc w:val="right"/>
      <w:rPr>
        <w:rFonts w:ascii="Times New Roman" w:hAnsi="Times New Roman" w:cs="Times New Roman"/>
      </w:rPr>
    </w:pPr>
    <w:r w:rsidRPr="007571C1">
      <w:rPr>
        <w:rStyle w:val="PageNumber"/>
        <w:rFonts w:ascii="Times New Roman" w:hAnsi="Times New Roman" w:cs="Times New Roman"/>
      </w:rPr>
      <w:fldChar w:fldCharType="begin"/>
    </w:r>
    <w:r w:rsidRPr="007571C1">
      <w:rPr>
        <w:rStyle w:val="PageNumber"/>
        <w:rFonts w:ascii="Times New Roman" w:hAnsi="Times New Roman" w:cs="Times New Roman"/>
      </w:rPr>
      <w:instrText xml:space="preserve"> PAGE </w:instrText>
    </w:r>
    <w:r w:rsidRPr="007571C1">
      <w:rPr>
        <w:rStyle w:val="PageNumber"/>
        <w:rFonts w:ascii="Times New Roman" w:hAnsi="Times New Roman" w:cs="Times New Roman"/>
      </w:rPr>
      <w:fldChar w:fldCharType="separate"/>
    </w:r>
    <w:r w:rsidR="007C75D3">
      <w:rPr>
        <w:rStyle w:val="PageNumber"/>
        <w:rFonts w:ascii="Times New Roman" w:hAnsi="Times New Roman" w:cs="Times New Roman"/>
        <w:noProof/>
      </w:rPr>
      <w:t>8</w:t>
    </w:r>
    <w:r w:rsidRPr="007571C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FFCE" w14:textId="77777777" w:rsidR="00FF517E" w:rsidRDefault="00FF517E" w:rsidP="007571C1">
      <w:r>
        <w:separator/>
      </w:r>
    </w:p>
  </w:footnote>
  <w:footnote w:type="continuationSeparator" w:id="0">
    <w:p w14:paraId="2D68DF1C" w14:textId="77777777" w:rsidR="00FF517E" w:rsidRDefault="00FF517E" w:rsidP="00757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380F" w14:textId="77777777" w:rsidR="00FF517E" w:rsidRDefault="00FF517E" w:rsidP="007571C1">
    <w:pPr>
      <w:pStyle w:val="Header"/>
      <w:jc w:val="right"/>
      <w:rPr>
        <w:rFonts w:ascii="Times New Roman" w:hAnsi="Times New Roman" w:cs="Times New Roman"/>
      </w:rPr>
    </w:pPr>
    <w:r>
      <w:rPr>
        <w:rFonts w:ascii="Times New Roman" w:hAnsi="Times New Roman" w:cs="Times New Roman"/>
      </w:rPr>
      <w:t>Zoë Mertz</w:t>
    </w:r>
  </w:p>
  <w:p w14:paraId="57874FB8" w14:textId="168E3735" w:rsidR="00FF517E" w:rsidRDefault="00FF517E" w:rsidP="003175EA">
    <w:pPr>
      <w:pStyle w:val="Header"/>
      <w:jc w:val="right"/>
      <w:rPr>
        <w:rFonts w:ascii="Times New Roman" w:hAnsi="Times New Roman" w:cs="Times New Roman"/>
      </w:rPr>
    </w:pPr>
    <w:r>
      <w:rPr>
        <w:rFonts w:ascii="Times New Roman" w:hAnsi="Times New Roman" w:cs="Times New Roman"/>
      </w:rPr>
      <w:t>June 9</w:t>
    </w:r>
    <w:r w:rsidRPr="003175EA">
      <w:rPr>
        <w:rFonts w:ascii="Times New Roman" w:hAnsi="Times New Roman" w:cs="Times New Roman"/>
        <w:vertAlign w:val="superscript"/>
      </w:rPr>
      <w:t>th</w:t>
    </w:r>
    <w:r>
      <w:rPr>
        <w:rFonts w:ascii="Times New Roman" w:hAnsi="Times New Roman" w:cs="Times New Roman"/>
      </w:rPr>
      <w:t>, 2019</w:t>
    </w:r>
  </w:p>
  <w:p w14:paraId="7D0A2F7D" w14:textId="77777777" w:rsidR="00FF517E" w:rsidRDefault="00FF517E" w:rsidP="007571C1">
    <w:pPr>
      <w:pStyle w:val="Header"/>
      <w:jc w:val="right"/>
      <w:rPr>
        <w:rFonts w:ascii="Times New Roman" w:hAnsi="Times New Roman" w:cs="Times New Roman"/>
      </w:rPr>
    </w:pPr>
    <w:r>
      <w:rPr>
        <w:rFonts w:ascii="Times New Roman" w:hAnsi="Times New Roman" w:cs="Times New Roman"/>
      </w:rPr>
      <w:t>English 302</w:t>
    </w:r>
  </w:p>
  <w:p w14:paraId="0ACCD2F6" w14:textId="77777777" w:rsidR="00FF517E" w:rsidRPr="007571C1" w:rsidRDefault="00FF517E" w:rsidP="007571C1">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2C47"/>
    <w:multiLevelType w:val="multilevel"/>
    <w:tmpl w:val="99D4E570"/>
    <w:lvl w:ilvl="0">
      <w:start w:val="1"/>
      <w:numFmt w:val="bullet"/>
      <w:lvlText w:val="o"/>
      <w:lvlJc w:val="left"/>
      <w:pPr>
        <w:ind w:left="425" w:hanging="425"/>
      </w:pPr>
      <w:rPr>
        <w:rFonts w:ascii="Courier New" w:hAnsi="Courier New" w:hint="default"/>
      </w:rPr>
    </w:lvl>
    <w:lvl w:ilvl="1">
      <w:start w:val="1"/>
      <w:numFmt w:val="bullet"/>
      <w:lvlText w:val=""/>
      <w:lvlJc w:val="left"/>
      <w:pPr>
        <w:ind w:left="992" w:hanging="567"/>
      </w:pPr>
      <w:rPr>
        <w:rFonts w:ascii="Wingdings 3" w:hAnsi="Wingdings 3" w:hint="default"/>
      </w:rPr>
    </w:lvl>
    <w:lvl w:ilvl="2">
      <w:start w:val="1"/>
      <w:numFmt w:val="bullet"/>
      <w:lvlText w:val=""/>
      <w:lvlJc w:val="left"/>
      <w:pPr>
        <w:ind w:left="1418" w:hanging="567"/>
      </w:pPr>
      <w:rPr>
        <w:rFonts w:ascii="Symbol" w:hAnsi="Symbol" w:hint="default"/>
      </w:rPr>
    </w:lvl>
    <w:lvl w:ilvl="3">
      <w:start w:val="1"/>
      <w:numFmt w:val="bullet"/>
      <w:lvlText w:val="o"/>
      <w:lvlJc w:val="left"/>
      <w:pPr>
        <w:ind w:left="1984" w:hanging="708"/>
      </w:pPr>
      <w:rPr>
        <w:rFonts w:ascii="Courier New" w:hAnsi="Courier New" w:hint="default"/>
      </w:rPr>
    </w:lvl>
    <w:lvl w:ilvl="4">
      <w:start w:val="1"/>
      <w:numFmt w:val="bullet"/>
      <w:lvlText w:val=""/>
      <w:lvlJc w:val="left"/>
      <w:pPr>
        <w:ind w:left="2551" w:hanging="850"/>
      </w:pPr>
      <w:rPr>
        <w:rFonts w:ascii="Wingdings 3" w:hAnsi="Wingdings 3" w:hint="default"/>
      </w:rPr>
    </w:lvl>
    <w:lvl w:ilvl="5">
      <w:start w:val="1"/>
      <w:numFmt w:val="bullet"/>
      <w:lvlText w:val=""/>
      <w:lvlJc w:val="left"/>
      <w:pPr>
        <w:ind w:left="3260" w:hanging="1134"/>
      </w:pPr>
      <w:rPr>
        <w:rFonts w:ascii="Symbol" w:hAnsi="Symbol" w:hint="default"/>
      </w:rPr>
    </w:lvl>
    <w:lvl w:ilvl="6">
      <w:start w:val="1"/>
      <w:numFmt w:val="bullet"/>
      <w:lvlText w:val="o"/>
      <w:lvlJc w:val="left"/>
      <w:pPr>
        <w:ind w:left="3827" w:hanging="1276"/>
      </w:pPr>
      <w:rPr>
        <w:rFonts w:ascii="Courier New" w:hAnsi="Courier New" w:hint="default"/>
      </w:rPr>
    </w:lvl>
    <w:lvl w:ilvl="7">
      <w:start w:val="1"/>
      <w:numFmt w:val="bullet"/>
      <w:lvlText w:val=""/>
      <w:lvlJc w:val="left"/>
      <w:pPr>
        <w:ind w:left="4394" w:hanging="1418"/>
      </w:pPr>
      <w:rPr>
        <w:rFonts w:ascii="Wingdings 3" w:hAnsi="Wingdings 3" w:hint="default"/>
      </w:rPr>
    </w:lvl>
    <w:lvl w:ilvl="8">
      <w:start w:val="1"/>
      <w:numFmt w:val="bullet"/>
      <w:lvlText w:val=""/>
      <w:lvlJc w:val="left"/>
      <w:pPr>
        <w:ind w:left="5102" w:hanging="170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atterson">
    <w15:presenceInfo w15:providerId="Windows Live" w15:userId="790474ffe004a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C1"/>
    <w:rsid w:val="00027F0F"/>
    <w:rsid w:val="00034CB3"/>
    <w:rsid w:val="00037EEE"/>
    <w:rsid w:val="00040011"/>
    <w:rsid w:val="00046A52"/>
    <w:rsid w:val="000642EC"/>
    <w:rsid w:val="0006645E"/>
    <w:rsid w:val="00090E18"/>
    <w:rsid w:val="000A002B"/>
    <w:rsid w:val="0010457F"/>
    <w:rsid w:val="001218B8"/>
    <w:rsid w:val="00131A0C"/>
    <w:rsid w:val="001366CF"/>
    <w:rsid w:val="00137C53"/>
    <w:rsid w:val="00145818"/>
    <w:rsid w:val="00192788"/>
    <w:rsid w:val="001C22C3"/>
    <w:rsid w:val="001C7E42"/>
    <w:rsid w:val="001E787B"/>
    <w:rsid w:val="001F7F23"/>
    <w:rsid w:val="00201DE2"/>
    <w:rsid w:val="00205DAA"/>
    <w:rsid w:val="0024404B"/>
    <w:rsid w:val="002713C3"/>
    <w:rsid w:val="0027626C"/>
    <w:rsid w:val="00276E08"/>
    <w:rsid w:val="002C3AEF"/>
    <w:rsid w:val="002C54F9"/>
    <w:rsid w:val="002D5A35"/>
    <w:rsid w:val="002E23DF"/>
    <w:rsid w:val="002E2B37"/>
    <w:rsid w:val="002F3492"/>
    <w:rsid w:val="003078C3"/>
    <w:rsid w:val="00312FE8"/>
    <w:rsid w:val="003175EA"/>
    <w:rsid w:val="00322434"/>
    <w:rsid w:val="00330740"/>
    <w:rsid w:val="003513D6"/>
    <w:rsid w:val="00351F55"/>
    <w:rsid w:val="003608EB"/>
    <w:rsid w:val="0036601E"/>
    <w:rsid w:val="00375D70"/>
    <w:rsid w:val="00385D0A"/>
    <w:rsid w:val="003E24C7"/>
    <w:rsid w:val="003E3FC7"/>
    <w:rsid w:val="003E5BA8"/>
    <w:rsid w:val="003F739E"/>
    <w:rsid w:val="00425375"/>
    <w:rsid w:val="00476475"/>
    <w:rsid w:val="00480A62"/>
    <w:rsid w:val="004822F0"/>
    <w:rsid w:val="004A316C"/>
    <w:rsid w:val="004B6D12"/>
    <w:rsid w:val="004E5A18"/>
    <w:rsid w:val="00510C4F"/>
    <w:rsid w:val="005635D4"/>
    <w:rsid w:val="00577F16"/>
    <w:rsid w:val="00595680"/>
    <w:rsid w:val="005A6268"/>
    <w:rsid w:val="005B30F1"/>
    <w:rsid w:val="005B5EC5"/>
    <w:rsid w:val="005C731B"/>
    <w:rsid w:val="005D2244"/>
    <w:rsid w:val="005E2CBD"/>
    <w:rsid w:val="005F1CD6"/>
    <w:rsid w:val="00613F31"/>
    <w:rsid w:val="0061479C"/>
    <w:rsid w:val="0062504F"/>
    <w:rsid w:val="006276FE"/>
    <w:rsid w:val="00666E2B"/>
    <w:rsid w:val="00676CC5"/>
    <w:rsid w:val="006777A5"/>
    <w:rsid w:val="00681C1C"/>
    <w:rsid w:val="00681C5E"/>
    <w:rsid w:val="006B0048"/>
    <w:rsid w:val="006C1929"/>
    <w:rsid w:val="006C3CB7"/>
    <w:rsid w:val="006C4A24"/>
    <w:rsid w:val="006F0370"/>
    <w:rsid w:val="006F0E2A"/>
    <w:rsid w:val="007021FC"/>
    <w:rsid w:val="007255B9"/>
    <w:rsid w:val="00742078"/>
    <w:rsid w:val="007571C1"/>
    <w:rsid w:val="007712AC"/>
    <w:rsid w:val="007760BE"/>
    <w:rsid w:val="00783219"/>
    <w:rsid w:val="00786776"/>
    <w:rsid w:val="007B1BD0"/>
    <w:rsid w:val="007B4A88"/>
    <w:rsid w:val="007B7A06"/>
    <w:rsid w:val="007C75D3"/>
    <w:rsid w:val="007D1F25"/>
    <w:rsid w:val="00840C34"/>
    <w:rsid w:val="008618FF"/>
    <w:rsid w:val="0087276D"/>
    <w:rsid w:val="008846AD"/>
    <w:rsid w:val="00897D62"/>
    <w:rsid w:val="008B346B"/>
    <w:rsid w:val="008C2FC8"/>
    <w:rsid w:val="008D2EDB"/>
    <w:rsid w:val="008D3ADF"/>
    <w:rsid w:val="0091491F"/>
    <w:rsid w:val="00923430"/>
    <w:rsid w:val="00924CD8"/>
    <w:rsid w:val="00924DAB"/>
    <w:rsid w:val="00930D49"/>
    <w:rsid w:val="0095087C"/>
    <w:rsid w:val="00951088"/>
    <w:rsid w:val="00955506"/>
    <w:rsid w:val="009562D4"/>
    <w:rsid w:val="009564AB"/>
    <w:rsid w:val="00970C6E"/>
    <w:rsid w:val="00972A15"/>
    <w:rsid w:val="0099464C"/>
    <w:rsid w:val="009A61D0"/>
    <w:rsid w:val="009C1C05"/>
    <w:rsid w:val="009D0A86"/>
    <w:rsid w:val="009E1AE0"/>
    <w:rsid w:val="009F0FCD"/>
    <w:rsid w:val="00A006F3"/>
    <w:rsid w:val="00A02E40"/>
    <w:rsid w:val="00A11746"/>
    <w:rsid w:val="00A122FE"/>
    <w:rsid w:val="00A250B1"/>
    <w:rsid w:val="00A478A1"/>
    <w:rsid w:val="00A70C8B"/>
    <w:rsid w:val="00A779B7"/>
    <w:rsid w:val="00A9008C"/>
    <w:rsid w:val="00A90B75"/>
    <w:rsid w:val="00A9269C"/>
    <w:rsid w:val="00AB275A"/>
    <w:rsid w:val="00AB39E4"/>
    <w:rsid w:val="00AB6D98"/>
    <w:rsid w:val="00AC0A5C"/>
    <w:rsid w:val="00AC4C4A"/>
    <w:rsid w:val="00AF05CE"/>
    <w:rsid w:val="00BA637A"/>
    <w:rsid w:val="00BF793F"/>
    <w:rsid w:val="00C07429"/>
    <w:rsid w:val="00C13EE9"/>
    <w:rsid w:val="00C21BD5"/>
    <w:rsid w:val="00C238B1"/>
    <w:rsid w:val="00C26DEF"/>
    <w:rsid w:val="00C34076"/>
    <w:rsid w:val="00C44B3E"/>
    <w:rsid w:val="00C51E0B"/>
    <w:rsid w:val="00C62CFE"/>
    <w:rsid w:val="00C96728"/>
    <w:rsid w:val="00CA01FB"/>
    <w:rsid w:val="00D0752C"/>
    <w:rsid w:val="00D15A90"/>
    <w:rsid w:val="00D40EBB"/>
    <w:rsid w:val="00D7234C"/>
    <w:rsid w:val="00D7692A"/>
    <w:rsid w:val="00DA0A18"/>
    <w:rsid w:val="00DB5E48"/>
    <w:rsid w:val="00DD717A"/>
    <w:rsid w:val="00DE2F48"/>
    <w:rsid w:val="00DF19D1"/>
    <w:rsid w:val="00E01F84"/>
    <w:rsid w:val="00E05044"/>
    <w:rsid w:val="00E21E22"/>
    <w:rsid w:val="00E27250"/>
    <w:rsid w:val="00E54816"/>
    <w:rsid w:val="00E712C7"/>
    <w:rsid w:val="00E910AA"/>
    <w:rsid w:val="00EA39FE"/>
    <w:rsid w:val="00EA767D"/>
    <w:rsid w:val="00EC0375"/>
    <w:rsid w:val="00EC7DEA"/>
    <w:rsid w:val="00ED0CA7"/>
    <w:rsid w:val="00F027BE"/>
    <w:rsid w:val="00F13582"/>
    <w:rsid w:val="00F15D5D"/>
    <w:rsid w:val="00F25820"/>
    <w:rsid w:val="00F33E2F"/>
    <w:rsid w:val="00F4199B"/>
    <w:rsid w:val="00F44F50"/>
    <w:rsid w:val="00F73AB9"/>
    <w:rsid w:val="00F81AA5"/>
    <w:rsid w:val="00FA1EE3"/>
    <w:rsid w:val="00FC2EB6"/>
    <w:rsid w:val="00FF1982"/>
    <w:rsid w:val="00FF517E"/>
    <w:rsid w:val="00FF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05D9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C1"/>
    <w:pPr>
      <w:tabs>
        <w:tab w:val="center" w:pos="4419"/>
        <w:tab w:val="right" w:pos="8838"/>
      </w:tabs>
      <w:snapToGrid w:val="0"/>
    </w:pPr>
  </w:style>
  <w:style w:type="character" w:customStyle="1" w:styleId="HeaderChar">
    <w:name w:val="Header Char"/>
    <w:basedOn w:val="DefaultParagraphFont"/>
    <w:link w:val="Header"/>
    <w:uiPriority w:val="99"/>
    <w:rsid w:val="007571C1"/>
  </w:style>
  <w:style w:type="paragraph" w:styleId="Footer">
    <w:name w:val="footer"/>
    <w:basedOn w:val="Normal"/>
    <w:link w:val="FooterChar"/>
    <w:uiPriority w:val="99"/>
    <w:unhideWhenUsed/>
    <w:rsid w:val="007571C1"/>
    <w:pPr>
      <w:tabs>
        <w:tab w:val="center" w:pos="4419"/>
        <w:tab w:val="right" w:pos="8838"/>
      </w:tabs>
      <w:snapToGrid w:val="0"/>
    </w:pPr>
  </w:style>
  <w:style w:type="character" w:customStyle="1" w:styleId="FooterChar">
    <w:name w:val="Footer Char"/>
    <w:basedOn w:val="DefaultParagraphFont"/>
    <w:link w:val="Footer"/>
    <w:uiPriority w:val="99"/>
    <w:rsid w:val="007571C1"/>
  </w:style>
  <w:style w:type="character" w:styleId="PageNumber">
    <w:name w:val="page number"/>
    <w:basedOn w:val="DefaultParagraphFont"/>
    <w:uiPriority w:val="99"/>
    <w:semiHidden/>
    <w:unhideWhenUsed/>
    <w:rsid w:val="007571C1"/>
  </w:style>
  <w:style w:type="paragraph" w:styleId="ListParagraph">
    <w:name w:val="List Paragraph"/>
    <w:basedOn w:val="Normal"/>
    <w:uiPriority w:val="34"/>
    <w:qFormat/>
    <w:rsid w:val="00676CC5"/>
    <w:pPr>
      <w:ind w:left="720"/>
    </w:pPr>
  </w:style>
  <w:style w:type="character" w:customStyle="1" w:styleId="apple-converted-space">
    <w:name w:val="apple-converted-space"/>
    <w:basedOn w:val="DefaultParagraphFont"/>
    <w:rsid w:val="00034CB3"/>
  </w:style>
  <w:style w:type="character" w:styleId="CommentReference">
    <w:name w:val="annotation reference"/>
    <w:basedOn w:val="DefaultParagraphFont"/>
    <w:uiPriority w:val="99"/>
    <w:semiHidden/>
    <w:unhideWhenUsed/>
    <w:rsid w:val="004A316C"/>
    <w:rPr>
      <w:sz w:val="18"/>
      <w:szCs w:val="18"/>
    </w:rPr>
  </w:style>
  <w:style w:type="paragraph" w:styleId="CommentText">
    <w:name w:val="annotation text"/>
    <w:basedOn w:val="Normal"/>
    <w:link w:val="CommentTextChar"/>
    <w:uiPriority w:val="99"/>
    <w:semiHidden/>
    <w:unhideWhenUsed/>
    <w:rsid w:val="004A316C"/>
  </w:style>
  <w:style w:type="character" w:customStyle="1" w:styleId="CommentTextChar">
    <w:name w:val="Comment Text Char"/>
    <w:basedOn w:val="DefaultParagraphFont"/>
    <w:link w:val="CommentText"/>
    <w:uiPriority w:val="99"/>
    <w:semiHidden/>
    <w:rsid w:val="004A316C"/>
  </w:style>
  <w:style w:type="paragraph" w:styleId="CommentSubject">
    <w:name w:val="annotation subject"/>
    <w:basedOn w:val="CommentText"/>
    <w:next w:val="CommentText"/>
    <w:link w:val="CommentSubjectChar"/>
    <w:uiPriority w:val="99"/>
    <w:semiHidden/>
    <w:unhideWhenUsed/>
    <w:rsid w:val="004A316C"/>
    <w:rPr>
      <w:b/>
      <w:bCs/>
    </w:rPr>
  </w:style>
  <w:style w:type="character" w:customStyle="1" w:styleId="CommentSubjectChar">
    <w:name w:val="Comment Subject Char"/>
    <w:basedOn w:val="CommentTextChar"/>
    <w:link w:val="CommentSubject"/>
    <w:uiPriority w:val="99"/>
    <w:semiHidden/>
    <w:rsid w:val="004A316C"/>
    <w:rPr>
      <w:b/>
      <w:bCs/>
    </w:rPr>
  </w:style>
  <w:style w:type="paragraph" w:styleId="BalloonText">
    <w:name w:val="Balloon Text"/>
    <w:basedOn w:val="Normal"/>
    <w:link w:val="BalloonTextChar"/>
    <w:uiPriority w:val="99"/>
    <w:semiHidden/>
    <w:unhideWhenUsed/>
    <w:rsid w:val="004A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6C"/>
    <w:rPr>
      <w:rFonts w:ascii="Lucida Grande" w:hAnsi="Lucida Grande" w:cs="Lucida Grande"/>
      <w:sz w:val="18"/>
      <w:szCs w:val="18"/>
    </w:rPr>
  </w:style>
  <w:style w:type="table" w:styleId="TableGrid">
    <w:name w:val="Table Grid"/>
    <w:basedOn w:val="TableNormal"/>
    <w:uiPriority w:val="39"/>
    <w:rsid w:val="00425375"/>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C1"/>
    <w:pPr>
      <w:tabs>
        <w:tab w:val="center" w:pos="4419"/>
        <w:tab w:val="right" w:pos="8838"/>
      </w:tabs>
      <w:snapToGrid w:val="0"/>
    </w:pPr>
  </w:style>
  <w:style w:type="character" w:customStyle="1" w:styleId="HeaderChar">
    <w:name w:val="Header Char"/>
    <w:basedOn w:val="DefaultParagraphFont"/>
    <w:link w:val="Header"/>
    <w:uiPriority w:val="99"/>
    <w:rsid w:val="007571C1"/>
  </w:style>
  <w:style w:type="paragraph" w:styleId="Footer">
    <w:name w:val="footer"/>
    <w:basedOn w:val="Normal"/>
    <w:link w:val="FooterChar"/>
    <w:uiPriority w:val="99"/>
    <w:unhideWhenUsed/>
    <w:rsid w:val="007571C1"/>
    <w:pPr>
      <w:tabs>
        <w:tab w:val="center" w:pos="4419"/>
        <w:tab w:val="right" w:pos="8838"/>
      </w:tabs>
      <w:snapToGrid w:val="0"/>
    </w:pPr>
  </w:style>
  <w:style w:type="character" w:customStyle="1" w:styleId="FooterChar">
    <w:name w:val="Footer Char"/>
    <w:basedOn w:val="DefaultParagraphFont"/>
    <w:link w:val="Footer"/>
    <w:uiPriority w:val="99"/>
    <w:rsid w:val="007571C1"/>
  </w:style>
  <w:style w:type="character" w:styleId="PageNumber">
    <w:name w:val="page number"/>
    <w:basedOn w:val="DefaultParagraphFont"/>
    <w:uiPriority w:val="99"/>
    <w:semiHidden/>
    <w:unhideWhenUsed/>
    <w:rsid w:val="007571C1"/>
  </w:style>
  <w:style w:type="paragraph" w:styleId="ListParagraph">
    <w:name w:val="List Paragraph"/>
    <w:basedOn w:val="Normal"/>
    <w:uiPriority w:val="34"/>
    <w:qFormat/>
    <w:rsid w:val="00676CC5"/>
    <w:pPr>
      <w:ind w:left="720"/>
    </w:pPr>
  </w:style>
  <w:style w:type="character" w:customStyle="1" w:styleId="apple-converted-space">
    <w:name w:val="apple-converted-space"/>
    <w:basedOn w:val="DefaultParagraphFont"/>
    <w:rsid w:val="00034CB3"/>
  </w:style>
  <w:style w:type="character" w:styleId="CommentReference">
    <w:name w:val="annotation reference"/>
    <w:basedOn w:val="DefaultParagraphFont"/>
    <w:uiPriority w:val="99"/>
    <w:semiHidden/>
    <w:unhideWhenUsed/>
    <w:rsid w:val="004A316C"/>
    <w:rPr>
      <w:sz w:val="18"/>
      <w:szCs w:val="18"/>
    </w:rPr>
  </w:style>
  <w:style w:type="paragraph" w:styleId="CommentText">
    <w:name w:val="annotation text"/>
    <w:basedOn w:val="Normal"/>
    <w:link w:val="CommentTextChar"/>
    <w:uiPriority w:val="99"/>
    <w:semiHidden/>
    <w:unhideWhenUsed/>
    <w:rsid w:val="004A316C"/>
  </w:style>
  <w:style w:type="character" w:customStyle="1" w:styleId="CommentTextChar">
    <w:name w:val="Comment Text Char"/>
    <w:basedOn w:val="DefaultParagraphFont"/>
    <w:link w:val="CommentText"/>
    <w:uiPriority w:val="99"/>
    <w:semiHidden/>
    <w:rsid w:val="004A316C"/>
  </w:style>
  <w:style w:type="paragraph" w:styleId="CommentSubject">
    <w:name w:val="annotation subject"/>
    <w:basedOn w:val="CommentText"/>
    <w:next w:val="CommentText"/>
    <w:link w:val="CommentSubjectChar"/>
    <w:uiPriority w:val="99"/>
    <w:semiHidden/>
    <w:unhideWhenUsed/>
    <w:rsid w:val="004A316C"/>
    <w:rPr>
      <w:b/>
      <w:bCs/>
    </w:rPr>
  </w:style>
  <w:style w:type="character" w:customStyle="1" w:styleId="CommentSubjectChar">
    <w:name w:val="Comment Subject Char"/>
    <w:basedOn w:val="CommentTextChar"/>
    <w:link w:val="CommentSubject"/>
    <w:uiPriority w:val="99"/>
    <w:semiHidden/>
    <w:rsid w:val="004A316C"/>
    <w:rPr>
      <w:b/>
      <w:bCs/>
    </w:rPr>
  </w:style>
  <w:style w:type="paragraph" w:styleId="BalloonText">
    <w:name w:val="Balloon Text"/>
    <w:basedOn w:val="Normal"/>
    <w:link w:val="BalloonTextChar"/>
    <w:uiPriority w:val="99"/>
    <w:semiHidden/>
    <w:unhideWhenUsed/>
    <w:rsid w:val="004A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6C"/>
    <w:rPr>
      <w:rFonts w:ascii="Lucida Grande" w:hAnsi="Lucida Grande" w:cs="Lucida Grande"/>
      <w:sz w:val="18"/>
      <w:szCs w:val="18"/>
    </w:rPr>
  </w:style>
  <w:style w:type="table" w:styleId="TableGrid">
    <w:name w:val="Table Grid"/>
    <w:basedOn w:val="TableNormal"/>
    <w:uiPriority w:val="39"/>
    <w:rsid w:val="00425375"/>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5879">
      <w:bodyDiv w:val="1"/>
      <w:marLeft w:val="0"/>
      <w:marRight w:val="0"/>
      <w:marTop w:val="0"/>
      <w:marBottom w:val="0"/>
      <w:divBdr>
        <w:top w:val="none" w:sz="0" w:space="0" w:color="auto"/>
        <w:left w:val="none" w:sz="0" w:space="0" w:color="auto"/>
        <w:bottom w:val="none" w:sz="0" w:space="0" w:color="auto"/>
        <w:right w:val="none" w:sz="0" w:space="0" w:color="auto"/>
      </w:divBdr>
    </w:div>
    <w:div w:id="1146120075">
      <w:bodyDiv w:val="1"/>
      <w:marLeft w:val="0"/>
      <w:marRight w:val="0"/>
      <w:marTop w:val="0"/>
      <w:marBottom w:val="0"/>
      <w:divBdr>
        <w:top w:val="none" w:sz="0" w:space="0" w:color="auto"/>
        <w:left w:val="none" w:sz="0" w:space="0" w:color="auto"/>
        <w:bottom w:val="none" w:sz="0" w:space="0" w:color="auto"/>
        <w:right w:val="none" w:sz="0" w:space="0" w:color="auto"/>
      </w:divBdr>
    </w:div>
    <w:div w:id="166292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E1AFBE-49C0-564D-A813-8E67CD08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1994</Words>
  <Characters>11370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2</cp:revision>
  <dcterms:created xsi:type="dcterms:W3CDTF">2019-06-17T19:02:00Z</dcterms:created>
  <dcterms:modified xsi:type="dcterms:W3CDTF">2019-06-17T19:02:00Z</dcterms:modified>
</cp:coreProperties>
</file>