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09C06" w14:textId="77777777" w:rsidR="00137C53" w:rsidRDefault="00F95DAE" w:rsidP="00F95DAE">
      <w:pPr>
        <w:spacing w:line="480" w:lineRule="auto"/>
        <w:jc w:val="center"/>
        <w:rPr>
          <w:rFonts w:ascii="Times New Roman" w:hAnsi="Times New Roman"/>
        </w:rPr>
      </w:pPr>
      <w:r>
        <w:rPr>
          <w:rFonts w:ascii="Times New Roman" w:hAnsi="Times New Roman"/>
        </w:rPr>
        <w:t>Scaffolding Essay #2 – A Fetish of Purification</w:t>
      </w:r>
    </w:p>
    <w:p w14:paraId="0E113C1C" w14:textId="1C8C31E8" w:rsidR="0074214C" w:rsidRDefault="00F95DAE" w:rsidP="00A3393A">
      <w:pPr>
        <w:spacing w:line="480" w:lineRule="auto"/>
        <w:rPr>
          <w:rFonts w:ascii="Times New Roman" w:hAnsi="Times New Roman"/>
        </w:rPr>
      </w:pPr>
      <w:r>
        <w:rPr>
          <w:rFonts w:ascii="Times New Roman" w:hAnsi="Times New Roman"/>
        </w:rPr>
        <w:tab/>
        <w:t xml:space="preserve">In Aimee Bender’s </w:t>
      </w:r>
      <w:r>
        <w:rPr>
          <w:rFonts w:ascii="Times New Roman" w:hAnsi="Times New Roman"/>
          <w:i/>
        </w:rPr>
        <w:t>An Invisible Sign of My Own</w:t>
      </w:r>
      <w:r>
        <w:rPr>
          <w:rFonts w:ascii="Times New Roman" w:hAnsi="Times New Roman"/>
        </w:rPr>
        <w:t xml:space="preserve">, protagonist Mona is afraid to grow up. She’s afraid to trust those around her enough to form meaningful relationships. Most of all, she is scared of losing control. This characteristic is not unique to Mona. </w:t>
      </w:r>
      <w:commentRangeStart w:id="0"/>
      <w:r>
        <w:rPr>
          <w:rFonts w:ascii="Times New Roman" w:hAnsi="Times New Roman"/>
        </w:rPr>
        <w:t>In fact, the fear of loss of control or powerlessness is a central aspect of Sigmund Freud’s theory of the fetish</w:t>
      </w:r>
      <w:commentRangeEnd w:id="0"/>
      <w:r w:rsidR="00BD2FF9">
        <w:rPr>
          <w:rStyle w:val="CommentReference"/>
        </w:rPr>
        <w:commentReference w:id="0"/>
      </w:r>
      <w:r>
        <w:rPr>
          <w:rFonts w:ascii="Times New Roman" w:hAnsi="Times New Roman"/>
        </w:rPr>
        <w:t xml:space="preserve">. </w:t>
      </w:r>
      <w:r w:rsidR="000D19EC">
        <w:rPr>
          <w:rFonts w:ascii="Times New Roman" w:hAnsi="Times New Roman"/>
        </w:rPr>
        <w:t xml:space="preserve">Freud claims that a fetish arises around the time in childhood when a child realizes that </w:t>
      </w:r>
      <w:commentRangeStart w:id="1"/>
      <w:r w:rsidR="000D19EC">
        <w:rPr>
          <w:rFonts w:ascii="Times New Roman" w:hAnsi="Times New Roman"/>
        </w:rPr>
        <w:t>thei</w:t>
      </w:r>
      <w:commentRangeEnd w:id="1"/>
      <w:r w:rsidR="00BD2FF9">
        <w:rPr>
          <w:rStyle w:val="CommentReference"/>
        </w:rPr>
        <w:commentReference w:id="1"/>
      </w:r>
      <w:r w:rsidR="000D19EC">
        <w:rPr>
          <w:rFonts w:ascii="Times New Roman" w:hAnsi="Times New Roman"/>
        </w:rPr>
        <w:t xml:space="preserve">r parent is not all-powerful, but only human and henceforth vulnerable. A </w:t>
      </w:r>
      <w:r w:rsidR="008F4D8B">
        <w:rPr>
          <w:rFonts w:ascii="Times New Roman" w:hAnsi="Times New Roman"/>
        </w:rPr>
        <w:t xml:space="preserve">child’s sudden self-awareness of their </w:t>
      </w:r>
      <w:r w:rsidR="000D19EC">
        <w:rPr>
          <w:rFonts w:ascii="Times New Roman" w:hAnsi="Times New Roman"/>
        </w:rPr>
        <w:t xml:space="preserve">own vulnerability and lack of power often accompanies this realization. For most people, this is a healthy discovery, one that allows them to mature into a functioning adult. </w:t>
      </w:r>
      <w:commentRangeStart w:id="2"/>
      <w:r w:rsidR="000D19EC">
        <w:rPr>
          <w:rFonts w:ascii="Times New Roman" w:hAnsi="Times New Roman"/>
        </w:rPr>
        <w:t xml:space="preserve">But for some children, this recognition is so traumatic that they refuse their own perception – they </w:t>
      </w:r>
      <w:r w:rsidR="000D19EC">
        <w:rPr>
          <w:rFonts w:ascii="Times New Roman" w:hAnsi="Times New Roman"/>
          <w:i/>
        </w:rPr>
        <w:t>disavow</w:t>
      </w:r>
      <w:r w:rsidR="000D19EC">
        <w:rPr>
          <w:rFonts w:ascii="Times New Roman" w:hAnsi="Times New Roman"/>
        </w:rPr>
        <w:t xml:space="preserve"> the claim. </w:t>
      </w:r>
      <w:commentRangeEnd w:id="2"/>
      <w:r w:rsidR="00BD2FF9">
        <w:rPr>
          <w:rStyle w:val="CommentReference"/>
        </w:rPr>
        <w:commentReference w:id="2"/>
      </w:r>
      <w:r w:rsidR="000D19EC">
        <w:rPr>
          <w:rFonts w:ascii="Times New Roman" w:hAnsi="Times New Roman"/>
        </w:rPr>
        <w:t xml:space="preserve">These children project their denial and fear surrounding this loss of power onto an object, creating a fetish (Freud 1-2). </w:t>
      </w:r>
      <w:r w:rsidR="003300B2">
        <w:rPr>
          <w:rFonts w:ascii="Times New Roman" w:hAnsi="Times New Roman"/>
        </w:rPr>
        <w:t xml:space="preserve">Freud’s theory of the fetish can be applied to Mona’s relationship with soap in </w:t>
      </w:r>
      <w:r w:rsidR="003300B2">
        <w:rPr>
          <w:rFonts w:ascii="Times New Roman" w:hAnsi="Times New Roman"/>
          <w:i/>
        </w:rPr>
        <w:t>An Invisible Sign of My Own</w:t>
      </w:r>
      <w:r w:rsidR="003300B2">
        <w:rPr>
          <w:rFonts w:ascii="Times New Roman" w:hAnsi="Times New Roman"/>
        </w:rPr>
        <w:t xml:space="preserve">. </w:t>
      </w:r>
      <w:r w:rsidR="008F4D8B">
        <w:rPr>
          <w:rFonts w:ascii="Times New Roman" w:hAnsi="Times New Roman"/>
        </w:rPr>
        <w:t xml:space="preserve">Throughout the novel, Mona uses soap, particularly the consumption of soap, as a physically potent deterrent against romantic relationships and the emotional vulnerability that accompanies </w:t>
      </w:r>
      <w:r w:rsidR="0074214C">
        <w:rPr>
          <w:rFonts w:ascii="Times New Roman" w:hAnsi="Times New Roman"/>
        </w:rPr>
        <w:t>them</w:t>
      </w:r>
      <w:r w:rsidR="008F4D8B">
        <w:rPr>
          <w:rFonts w:ascii="Times New Roman" w:hAnsi="Times New Roman"/>
        </w:rPr>
        <w:t xml:space="preserve">. </w:t>
      </w:r>
      <w:r w:rsidR="0053463E">
        <w:rPr>
          <w:rFonts w:ascii="Times New Roman" w:hAnsi="Times New Roman"/>
        </w:rPr>
        <w:t xml:space="preserve">Why soap? As Freud suggests, many fetishes originate </w:t>
      </w:r>
      <w:r w:rsidR="00DE7834">
        <w:rPr>
          <w:rFonts w:ascii="Times New Roman" w:hAnsi="Times New Roman"/>
        </w:rPr>
        <w:t>from</w:t>
      </w:r>
      <w:r w:rsidR="0053463E">
        <w:rPr>
          <w:rFonts w:ascii="Times New Roman" w:hAnsi="Times New Roman"/>
        </w:rPr>
        <w:t xml:space="preserve"> childhood trauma regarding the relationship between parent and child. Mona grapples throughout the novel with the mystery of her father’s health: an unknown ailment that incapacitates him beyond her understanding, taking away his power. </w:t>
      </w:r>
      <w:commentRangeStart w:id="3"/>
      <w:r w:rsidR="0053463E">
        <w:rPr>
          <w:rFonts w:ascii="Times New Roman" w:hAnsi="Times New Roman"/>
        </w:rPr>
        <w:t>Perhaps</w:t>
      </w:r>
      <w:commentRangeEnd w:id="3"/>
      <w:r w:rsidR="00BD2FF9">
        <w:rPr>
          <w:rStyle w:val="CommentReference"/>
        </w:rPr>
        <w:commentReference w:id="3"/>
      </w:r>
      <w:r w:rsidR="0053463E">
        <w:rPr>
          <w:rFonts w:ascii="Times New Roman" w:hAnsi="Times New Roman"/>
        </w:rPr>
        <w:t xml:space="preserve"> Mona views soap as a “token of triumph… and a protection against” the threat of her father’s illness (Freud 2). </w:t>
      </w:r>
      <w:r w:rsidR="007341C0">
        <w:rPr>
          <w:rFonts w:ascii="Times New Roman" w:hAnsi="Times New Roman"/>
        </w:rPr>
        <w:t xml:space="preserve">The consumption of soap is a kind of purification, a way to purge herself of </w:t>
      </w:r>
      <w:r w:rsidR="00F338B7">
        <w:rPr>
          <w:rFonts w:ascii="Times New Roman" w:hAnsi="Times New Roman"/>
        </w:rPr>
        <w:t>the</w:t>
      </w:r>
      <w:r w:rsidR="007341C0">
        <w:rPr>
          <w:rFonts w:ascii="Times New Roman" w:hAnsi="Times New Roman"/>
        </w:rPr>
        <w:t xml:space="preserve"> uncleanliness she associat</w:t>
      </w:r>
      <w:r w:rsidR="00A3393A">
        <w:rPr>
          <w:rFonts w:ascii="Times New Roman" w:hAnsi="Times New Roman"/>
        </w:rPr>
        <w:t>es with growing close to people</w:t>
      </w:r>
      <w:r w:rsidR="00F338B7">
        <w:rPr>
          <w:rFonts w:ascii="Times New Roman" w:hAnsi="Times New Roman"/>
        </w:rPr>
        <w:t>,</w:t>
      </w:r>
      <w:r w:rsidR="00A3393A">
        <w:rPr>
          <w:rFonts w:ascii="Times New Roman" w:hAnsi="Times New Roman"/>
        </w:rPr>
        <w:t xml:space="preserve"> and ensure the maintenance of her own health</w:t>
      </w:r>
      <w:r w:rsidR="00FF4D12">
        <w:rPr>
          <w:rFonts w:ascii="Times New Roman" w:hAnsi="Times New Roman"/>
        </w:rPr>
        <w:t xml:space="preserve"> – and control</w:t>
      </w:r>
      <w:r w:rsidR="00A3393A">
        <w:rPr>
          <w:rFonts w:ascii="Times New Roman" w:hAnsi="Times New Roman"/>
        </w:rPr>
        <w:t xml:space="preserve">. </w:t>
      </w:r>
      <w:r w:rsidR="00CF7AC1">
        <w:rPr>
          <w:rFonts w:ascii="Times New Roman" w:hAnsi="Times New Roman"/>
        </w:rPr>
        <w:t xml:space="preserve">It becomes her shortcut, her surefire way to </w:t>
      </w:r>
      <w:r w:rsidR="00F338B7">
        <w:rPr>
          <w:rFonts w:ascii="Times New Roman" w:hAnsi="Times New Roman"/>
        </w:rPr>
        <w:t xml:space="preserve">force her body to </w:t>
      </w:r>
      <w:r w:rsidR="00CF7AC1">
        <w:rPr>
          <w:rFonts w:ascii="Times New Roman" w:hAnsi="Times New Roman"/>
        </w:rPr>
        <w:t xml:space="preserve">resist </w:t>
      </w:r>
      <w:r w:rsidR="00F338B7">
        <w:rPr>
          <w:rFonts w:ascii="Times New Roman" w:hAnsi="Times New Roman"/>
        </w:rPr>
        <w:t>its</w:t>
      </w:r>
      <w:r w:rsidR="00CF7AC1">
        <w:rPr>
          <w:rFonts w:ascii="Times New Roman" w:hAnsi="Times New Roman"/>
        </w:rPr>
        <w:t xml:space="preserve"> own innate </w:t>
      </w:r>
      <w:commentRangeStart w:id="4"/>
      <w:r w:rsidR="00CF7AC1">
        <w:rPr>
          <w:rFonts w:ascii="Times New Roman" w:hAnsi="Times New Roman"/>
        </w:rPr>
        <w:t>desires</w:t>
      </w:r>
      <w:commentRangeEnd w:id="4"/>
      <w:r w:rsidR="00BD2FF9">
        <w:rPr>
          <w:rStyle w:val="CommentReference"/>
        </w:rPr>
        <w:commentReference w:id="4"/>
      </w:r>
      <w:r w:rsidR="00CF7AC1">
        <w:rPr>
          <w:rFonts w:ascii="Times New Roman" w:hAnsi="Times New Roman"/>
        </w:rPr>
        <w:t xml:space="preserve">. </w:t>
      </w:r>
    </w:p>
    <w:p w14:paraId="02C2E21D" w14:textId="2727BA92" w:rsidR="00A3393A" w:rsidRDefault="00A3393A" w:rsidP="00A3393A">
      <w:pPr>
        <w:spacing w:line="480" w:lineRule="auto"/>
        <w:rPr>
          <w:rFonts w:ascii="Times New Roman" w:hAnsi="Times New Roman"/>
        </w:rPr>
      </w:pPr>
      <w:r>
        <w:rPr>
          <w:rFonts w:ascii="Times New Roman" w:hAnsi="Times New Roman"/>
        </w:rPr>
        <w:lastRenderedPageBreak/>
        <w:tab/>
        <w:t>Mona’s soap fetish first appears towards the novel’s opening, in association with her first sexual relationship with a man she refers to only as ‘the boyfriend</w:t>
      </w:r>
      <w:r w:rsidR="004053EC">
        <w:rPr>
          <w:rFonts w:ascii="Times New Roman" w:hAnsi="Times New Roman"/>
        </w:rPr>
        <w:t>’ (</w:t>
      </w:r>
      <w:r w:rsidR="0012227B">
        <w:rPr>
          <w:rFonts w:ascii="Times New Roman" w:hAnsi="Times New Roman"/>
        </w:rPr>
        <w:t xml:space="preserve">a </w:t>
      </w:r>
      <w:r w:rsidR="00A10B86">
        <w:rPr>
          <w:rFonts w:ascii="Times New Roman" w:hAnsi="Times New Roman"/>
        </w:rPr>
        <w:t xml:space="preserve">title </w:t>
      </w:r>
      <w:r w:rsidR="0012227B">
        <w:rPr>
          <w:rFonts w:ascii="Times New Roman" w:hAnsi="Times New Roman"/>
        </w:rPr>
        <w:t>that indicates</w:t>
      </w:r>
      <w:r w:rsidR="004053EC">
        <w:rPr>
          <w:rFonts w:ascii="Times New Roman" w:hAnsi="Times New Roman"/>
        </w:rPr>
        <w:t xml:space="preserve"> her lack of emotional investment in the </w:t>
      </w:r>
      <w:r w:rsidR="0012227B">
        <w:rPr>
          <w:rFonts w:ascii="Times New Roman" w:hAnsi="Times New Roman"/>
        </w:rPr>
        <w:t>relationship</w:t>
      </w:r>
      <w:r w:rsidR="004053EC">
        <w:rPr>
          <w:rFonts w:ascii="Times New Roman" w:hAnsi="Times New Roman"/>
        </w:rPr>
        <w:t>)</w:t>
      </w:r>
      <w:r w:rsidR="0012227B">
        <w:rPr>
          <w:rFonts w:ascii="Times New Roman" w:hAnsi="Times New Roman"/>
        </w:rPr>
        <w:t>.</w:t>
      </w:r>
      <w:r w:rsidR="000E22BD">
        <w:rPr>
          <w:rFonts w:ascii="Times New Roman" w:hAnsi="Times New Roman"/>
        </w:rPr>
        <w:t xml:space="preserve"> She recounts that after </w:t>
      </w:r>
      <w:r w:rsidR="00F338B7">
        <w:rPr>
          <w:rFonts w:ascii="Times New Roman" w:hAnsi="Times New Roman"/>
        </w:rPr>
        <w:t>their</w:t>
      </w:r>
      <w:r w:rsidR="000E22BD">
        <w:rPr>
          <w:rFonts w:ascii="Times New Roman" w:hAnsi="Times New Roman"/>
        </w:rPr>
        <w:t xml:space="preserve"> third time having sex, she returns to her apartment</w:t>
      </w:r>
      <w:r w:rsidR="0085105A">
        <w:rPr>
          <w:rFonts w:ascii="Times New Roman" w:hAnsi="Times New Roman"/>
        </w:rPr>
        <w:t>, where</w:t>
      </w:r>
      <w:r w:rsidR="000E22BD">
        <w:rPr>
          <w:rFonts w:ascii="Times New Roman" w:hAnsi="Times New Roman"/>
        </w:rPr>
        <w:t xml:space="preserve"> the compulsion to eat soap overcomes her. </w:t>
      </w:r>
      <w:commentRangeStart w:id="5"/>
      <w:r w:rsidR="00D23A56">
        <w:rPr>
          <w:rFonts w:ascii="Times New Roman" w:hAnsi="Times New Roman"/>
        </w:rPr>
        <w:t>(Tying back to Freud’s theory of the origin of the fetish, it is interesting to note that Mona reports this soap to be the same brand her mother buys</w:t>
      </w:r>
      <w:r w:rsidR="00DE7834">
        <w:rPr>
          <w:rFonts w:ascii="Times New Roman" w:hAnsi="Times New Roman"/>
        </w:rPr>
        <w:t>, thus associating this soap with Mona’s parents</w:t>
      </w:r>
      <w:r w:rsidR="00D23A56">
        <w:rPr>
          <w:rFonts w:ascii="Times New Roman" w:hAnsi="Times New Roman"/>
        </w:rPr>
        <w:t xml:space="preserve">.) </w:t>
      </w:r>
      <w:commentRangeEnd w:id="5"/>
      <w:r w:rsidR="00BD2FF9">
        <w:rPr>
          <w:rStyle w:val="CommentReference"/>
        </w:rPr>
        <w:commentReference w:id="5"/>
      </w:r>
      <w:r w:rsidR="000E22BD">
        <w:rPr>
          <w:rFonts w:ascii="Times New Roman" w:hAnsi="Times New Roman"/>
        </w:rPr>
        <w:t xml:space="preserve">Her reflection on this decision can be seen in the following quote: “…the rest of the day, I thought very little of the boyfriend, and instead wandered the rooms, burping clean burps, evaluating how badly I felt: Should I just relax? Should I get my stomach pumped?” (Bender 14). As the reference to stomach-pumping suggests, Mona acknowledges in her rational mind the </w:t>
      </w:r>
      <w:r w:rsidR="00DE7834" w:rsidRPr="00DE7834">
        <w:rPr>
          <w:rFonts w:ascii="Times New Roman" w:hAnsi="Times New Roman"/>
        </w:rPr>
        <w:t>absurdity</w:t>
      </w:r>
      <w:r w:rsidR="000E22BD">
        <w:rPr>
          <w:rFonts w:ascii="Times New Roman" w:hAnsi="Times New Roman"/>
        </w:rPr>
        <w:t xml:space="preserve"> of </w:t>
      </w:r>
      <w:r w:rsidR="00F338B7">
        <w:rPr>
          <w:rFonts w:ascii="Times New Roman" w:hAnsi="Times New Roman"/>
        </w:rPr>
        <w:t>her</w:t>
      </w:r>
      <w:r w:rsidR="000E22BD">
        <w:rPr>
          <w:rFonts w:ascii="Times New Roman" w:hAnsi="Times New Roman"/>
        </w:rPr>
        <w:t xml:space="preserve"> decision. However, </w:t>
      </w:r>
      <w:r w:rsidR="00D23A56">
        <w:rPr>
          <w:rFonts w:ascii="Times New Roman" w:hAnsi="Times New Roman"/>
        </w:rPr>
        <w:t>the inner urge to combat her blossoming relationship</w:t>
      </w:r>
      <w:r w:rsidR="00F338B7">
        <w:rPr>
          <w:rFonts w:ascii="Times New Roman" w:hAnsi="Times New Roman"/>
        </w:rPr>
        <w:t>, her fear of losing the strict control she maintains over herself,</w:t>
      </w:r>
      <w:r w:rsidR="00D23A56">
        <w:rPr>
          <w:rFonts w:ascii="Times New Roman" w:hAnsi="Times New Roman"/>
        </w:rPr>
        <w:t xml:space="preserve"> overcomes this reason, as shown by the fact that she</w:t>
      </w:r>
      <w:r w:rsidR="0085105A">
        <w:rPr>
          <w:rFonts w:ascii="Times New Roman" w:hAnsi="Times New Roman"/>
        </w:rPr>
        <w:t xml:space="preserve"> is able to ‘think</w:t>
      </w:r>
      <w:r w:rsidR="00D23A56">
        <w:rPr>
          <w:rFonts w:ascii="Times New Roman" w:hAnsi="Times New Roman"/>
        </w:rPr>
        <w:t xml:space="preserve"> very little’ of the boyfriend the rest of the day. The use of the word ‘clean’ to describe her burps, the aftermath of this fetish, is also telling. Later in this section, Mona recounts her breakup with the boyfriend: “We broke up about three weeks later. He kept saying he was sorry. I held my clean fingers to my nose, nodded” (Bender 15). After again using soap at the boyfriend’s house (the same brand, Mona notes) as essentially a punishment for her sexuality, Mona takes comfort in the ‘cleanliness’ she has created. </w:t>
      </w:r>
      <w:commentRangeStart w:id="6"/>
      <w:r w:rsidR="00F338B7">
        <w:rPr>
          <w:rFonts w:ascii="Times New Roman" w:hAnsi="Times New Roman"/>
        </w:rPr>
        <w:t>Mona</w:t>
      </w:r>
      <w:r w:rsidR="00D23A56">
        <w:rPr>
          <w:rFonts w:ascii="Times New Roman" w:hAnsi="Times New Roman"/>
        </w:rPr>
        <w:t xml:space="preserve"> lacks trust in herself, her emotions, and her ability to maintain control in the face of a romantic relationship. </w:t>
      </w:r>
      <w:r w:rsidR="00DE7834">
        <w:rPr>
          <w:rFonts w:ascii="Times New Roman" w:hAnsi="Times New Roman"/>
        </w:rPr>
        <w:t>Soap becomes her fetish: her</w:t>
      </w:r>
      <w:r w:rsidR="00D23A56">
        <w:rPr>
          <w:rFonts w:ascii="Times New Roman" w:hAnsi="Times New Roman"/>
        </w:rPr>
        <w:t xml:space="preserve"> protection against this loss of control. </w:t>
      </w:r>
      <w:commentRangeEnd w:id="6"/>
      <w:r w:rsidR="00BD2FF9">
        <w:rPr>
          <w:rStyle w:val="CommentReference"/>
        </w:rPr>
        <w:commentReference w:id="6"/>
      </w:r>
    </w:p>
    <w:p w14:paraId="216312F8" w14:textId="152B4F49" w:rsidR="00FD47B4" w:rsidRDefault="008D5290" w:rsidP="00A30173">
      <w:pPr>
        <w:spacing w:line="480" w:lineRule="auto"/>
        <w:ind w:firstLine="720"/>
        <w:rPr>
          <w:rFonts w:ascii="Times New Roman" w:hAnsi="Times New Roman"/>
        </w:rPr>
      </w:pPr>
      <w:commentRangeStart w:id="7"/>
      <w:r>
        <w:rPr>
          <w:rFonts w:ascii="Times New Roman" w:hAnsi="Times New Roman"/>
        </w:rPr>
        <w:t xml:space="preserve">Mona’s reliance on her soap fetish </w:t>
      </w:r>
      <w:r w:rsidR="00F338B7">
        <w:rPr>
          <w:rFonts w:ascii="Times New Roman" w:hAnsi="Times New Roman"/>
        </w:rPr>
        <w:t>continues to develop</w:t>
      </w:r>
      <w:r>
        <w:rPr>
          <w:rFonts w:ascii="Times New Roman" w:hAnsi="Times New Roman"/>
        </w:rPr>
        <w:t xml:space="preserve"> over the course of the novel</w:t>
      </w:r>
      <w:commentRangeEnd w:id="7"/>
      <w:r w:rsidR="00BD2FF9">
        <w:rPr>
          <w:rStyle w:val="CommentReference"/>
        </w:rPr>
        <w:commentReference w:id="7"/>
      </w:r>
      <w:r>
        <w:rPr>
          <w:rFonts w:ascii="Times New Roman" w:hAnsi="Times New Roman"/>
        </w:rPr>
        <w:t xml:space="preserve">. </w:t>
      </w:r>
      <w:r w:rsidR="00FD47B4">
        <w:rPr>
          <w:rFonts w:ascii="Times New Roman" w:hAnsi="Times New Roman"/>
        </w:rPr>
        <w:t xml:space="preserve">The next significant appearance takes place during her first physical romantic encounter with Benjamin Smith (who she refers to as ‘the science teacher,’ again displaying a tendency to </w:t>
      </w:r>
      <w:r w:rsidR="00FD47B4">
        <w:rPr>
          <w:rFonts w:ascii="Times New Roman" w:hAnsi="Times New Roman"/>
        </w:rPr>
        <w:lastRenderedPageBreak/>
        <w:t xml:space="preserve">distance herself </w:t>
      </w:r>
      <w:r w:rsidR="00F338B7">
        <w:rPr>
          <w:rFonts w:ascii="Times New Roman" w:hAnsi="Times New Roman"/>
        </w:rPr>
        <w:t>linguistically</w:t>
      </w:r>
      <w:r w:rsidR="00A30173">
        <w:rPr>
          <w:rFonts w:ascii="Times New Roman" w:hAnsi="Times New Roman"/>
        </w:rPr>
        <w:t xml:space="preserve"> </w:t>
      </w:r>
      <w:r w:rsidR="00FD47B4">
        <w:rPr>
          <w:rFonts w:ascii="Times New Roman" w:hAnsi="Times New Roman"/>
        </w:rPr>
        <w:t xml:space="preserve">from potential romantic partners). </w:t>
      </w:r>
      <w:r w:rsidR="00A30173">
        <w:rPr>
          <w:rFonts w:ascii="Times New Roman" w:hAnsi="Times New Roman"/>
        </w:rPr>
        <w:t xml:space="preserve">Unlike her previous relationship with ‘the boyfriend,’ which seemed largely dispassionate and experimental, Mona seems genuinely interesting in pursuing this </w:t>
      </w:r>
      <w:r w:rsidR="00F338B7">
        <w:rPr>
          <w:rFonts w:ascii="Times New Roman" w:hAnsi="Times New Roman"/>
        </w:rPr>
        <w:t xml:space="preserve">new </w:t>
      </w:r>
      <w:r w:rsidR="00A30173">
        <w:rPr>
          <w:rFonts w:ascii="Times New Roman" w:hAnsi="Times New Roman"/>
        </w:rPr>
        <w:t>relationship.</w:t>
      </w:r>
      <w:r w:rsidR="00A30173" w:rsidRPr="00A30173">
        <w:rPr>
          <w:rFonts w:ascii="Times New Roman" w:hAnsi="Times New Roman"/>
        </w:rPr>
        <w:t xml:space="preserve"> </w:t>
      </w:r>
      <w:r w:rsidR="00A30173">
        <w:rPr>
          <w:rFonts w:ascii="Times New Roman" w:hAnsi="Times New Roman"/>
        </w:rPr>
        <w:t>But as the physicality continues, her old vulnerability surfaces – fear of the loss of control a relationship prompts, as seen in the following quote</w:t>
      </w:r>
      <w:r w:rsidR="00FD47B4">
        <w:rPr>
          <w:rFonts w:ascii="Times New Roman" w:hAnsi="Times New Roman"/>
        </w:rPr>
        <w:t xml:space="preserve">: </w:t>
      </w:r>
      <w:commentRangeStart w:id="8"/>
      <w:r w:rsidR="00FD47B4">
        <w:rPr>
          <w:rFonts w:ascii="Times New Roman" w:hAnsi="Times New Roman"/>
        </w:rPr>
        <w:t>“I was blooming out of control, and the melting inside was unbearable, and I took myself away” (Bender 144).</w:t>
      </w:r>
      <w:r w:rsidR="00A30173">
        <w:rPr>
          <w:rFonts w:ascii="Times New Roman" w:hAnsi="Times New Roman"/>
        </w:rPr>
        <w:t xml:space="preserve"> </w:t>
      </w:r>
      <w:commentRangeEnd w:id="8"/>
      <w:r w:rsidR="001E68AF">
        <w:rPr>
          <w:rStyle w:val="CommentReference"/>
        </w:rPr>
        <w:commentReference w:id="8"/>
      </w:r>
      <w:r w:rsidR="00A30173">
        <w:rPr>
          <w:rFonts w:ascii="Times New Roman" w:hAnsi="Times New Roman"/>
        </w:rPr>
        <w:t xml:space="preserve">In trying to maintain control, Mona actually gives control over to her fetish. She gives in to the sense of protection the soap provides, even as it harms her both physically, and mentally in denying herself what she truly desires. </w:t>
      </w:r>
      <w:r w:rsidR="00FD47B4">
        <w:rPr>
          <w:rFonts w:ascii="Times New Roman" w:hAnsi="Times New Roman"/>
        </w:rPr>
        <w:t>“My friend, soap, that small ball of ruin</w:t>
      </w:r>
      <w:r w:rsidR="00A30173">
        <w:rPr>
          <w:rFonts w:ascii="Times New Roman" w:hAnsi="Times New Roman"/>
        </w:rPr>
        <w:t>,</w:t>
      </w:r>
      <w:r w:rsidR="00FD47B4">
        <w:rPr>
          <w:rFonts w:ascii="Times New Roman" w:hAnsi="Times New Roman"/>
        </w:rPr>
        <w:t>”</w:t>
      </w:r>
      <w:r w:rsidR="00A30173">
        <w:rPr>
          <w:rFonts w:ascii="Times New Roman" w:hAnsi="Times New Roman"/>
        </w:rPr>
        <w:t xml:space="preserve"> Mona states upon locking herself in the bathroom</w:t>
      </w:r>
      <w:r w:rsidR="00FD47B4">
        <w:rPr>
          <w:rFonts w:ascii="Times New Roman" w:hAnsi="Times New Roman"/>
        </w:rPr>
        <w:t xml:space="preserve"> (Bender 145</w:t>
      </w:r>
      <w:commentRangeStart w:id="9"/>
      <w:r w:rsidR="00FD47B4">
        <w:rPr>
          <w:rFonts w:ascii="Times New Roman" w:hAnsi="Times New Roman"/>
        </w:rPr>
        <w:t xml:space="preserve">). </w:t>
      </w:r>
      <w:r w:rsidR="00A30173">
        <w:rPr>
          <w:rFonts w:ascii="Times New Roman" w:hAnsi="Times New Roman"/>
        </w:rPr>
        <w:t>The contradictory terms ‘friend’ and ‘ruin’ here highlight Mona’s complex relationship with her fetish</w:t>
      </w:r>
      <w:commentRangeEnd w:id="9"/>
      <w:r w:rsidR="001E68AF">
        <w:rPr>
          <w:rStyle w:val="CommentReference"/>
        </w:rPr>
        <w:commentReference w:id="9"/>
      </w:r>
      <w:r w:rsidR="00A30173">
        <w:rPr>
          <w:rFonts w:ascii="Times New Roman" w:hAnsi="Times New Roman"/>
        </w:rPr>
        <w:t xml:space="preserve">. </w:t>
      </w:r>
      <w:r w:rsidR="000F77A7">
        <w:rPr>
          <w:rFonts w:ascii="Times New Roman" w:hAnsi="Times New Roman"/>
        </w:rPr>
        <w:t>Mona</w:t>
      </w:r>
      <w:r w:rsidR="00FE041D">
        <w:rPr>
          <w:rFonts w:ascii="Times New Roman" w:hAnsi="Times New Roman"/>
        </w:rPr>
        <w:t xml:space="preserve"> tries to give herself over to the deception of the fetish, the false comfort and safety</w:t>
      </w:r>
      <w:r w:rsidR="000F77A7">
        <w:rPr>
          <w:rFonts w:ascii="Times New Roman" w:hAnsi="Times New Roman"/>
        </w:rPr>
        <w:t xml:space="preserve"> and ‘friendliness’ it provides.</w:t>
      </w:r>
      <w:r w:rsidR="00FE041D">
        <w:rPr>
          <w:rFonts w:ascii="Times New Roman" w:hAnsi="Times New Roman"/>
        </w:rPr>
        <w:t xml:space="preserve"> </w:t>
      </w:r>
      <w:r w:rsidR="000F77A7">
        <w:rPr>
          <w:rFonts w:ascii="Times New Roman" w:hAnsi="Times New Roman"/>
        </w:rPr>
        <w:t>But</w:t>
      </w:r>
      <w:r w:rsidR="00F338B7">
        <w:rPr>
          <w:rFonts w:ascii="Times New Roman" w:hAnsi="Times New Roman"/>
        </w:rPr>
        <w:t>,</w:t>
      </w:r>
      <w:r w:rsidR="000F77A7">
        <w:rPr>
          <w:rFonts w:ascii="Times New Roman" w:hAnsi="Times New Roman"/>
        </w:rPr>
        <w:t xml:space="preserve"> although </w:t>
      </w:r>
      <w:r w:rsidR="00CF7AC1">
        <w:rPr>
          <w:rFonts w:ascii="Times New Roman" w:hAnsi="Times New Roman"/>
        </w:rPr>
        <w:t>she</w:t>
      </w:r>
      <w:r w:rsidR="000F77A7">
        <w:rPr>
          <w:rFonts w:ascii="Times New Roman" w:hAnsi="Times New Roman"/>
        </w:rPr>
        <w:t xml:space="preserve"> has not yet developed to a point where she is able to resist her fetish, </w:t>
      </w:r>
      <w:r w:rsidR="00CF7AC1">
        <w:rPr>
          <w:rFonts w:ascii="Times New Roman" w:hAnsi="Times New Roman"/>
        </w:rPr>
        <w:t>Mona</w:t>
      </w:r>
      <w:r w:rsidR="000F77A7">
        <w:rPr>
          <w:rFonts w:ascii="Times New Roman" w:hAnsi="Times New Roman"/>
        </w:rPr>
        <w:t xml:space="preserve"> does begin to acknowledge the potential harm, the ‘ruin’ it causes. </w:t>
      </w:r>
    </w:p>
    <w:p w14:paraId="0308273A" w14:textId="73872729" w:rsidR="008B0A15" w:rsidRDefault="00FD47B4" w:rsidP="007906B3">
      <w:pPr>
        <w:spacing w:line="480" w:lineRule="auto"/>
        <w:rPr>
          <w:rFonts w:ascii="Times New Roman" w:hAnsi="Times New Roman"/>
        </w:rPr>
      </w:pPr>
      <w:r>
        <w:rPr>
          <w:rFonts w:ascii="Times New Roman" w:hAnsi="Times New Roman"/>
        </w:rPr>
        <w:tab/>
      </w:r>
      <w:r w:rsidR="00E5232B">
        <w:rPr>
          <w:rFonts w:ascii="Times New Roman" w:hAnsi="Times New Roman"/>
        </w:rPr>
        <w:t>By the novel’s conclusion, Mona has developed much further towar</w:t>
      </w:r>
      <w:r w:rsidR="008B0A15">
        <w:rPr>
          <w:rFonts w:ascii="Times New Roman" w:hAnsi="Times New Roman"/>
        </w:rPr>
        <w:t>ds relinquishing her fetish. This development parallels her growing trust in the people around her</w:t>
      </w:r>
      <w:r w:rsidR="00F338B7">
        <w:rPr>
          <w:rFonts w:ascii="Times New Roman" w:hAnsi="Times New Roman"/>
        </w:rPr>
        <w:t>.</w:t>
      </w:r>
      <w:r w:rsidR="008B0A15">
        <w:rPr>
          <w:rFonts w:ascii="Times New Roman" w:hAnsi="Times New Roman"/>
        </w:rPr>
        <w:t xml:space="preserve"> </w:t>
      </w:r>
      <w:r w:rsidR="00DB44EC">
        <w:rPr>
          <w:rFonts w:ascii="Times New Roman" w:hAnsi="Times New Roman"/>
        </w:rPr>
        <w:t xml:space="preserve">Mona does not yet trust herself when it comes to her </w:t>
      </w:r>
      <w:commentRangeStart w:id="10"/>
      <w:r w:rsidR="00DB44EC">
        <w:rPr>
          <w:rFonts w:ascii="Times New Roman" w:hAnsi="Times New Roman"/>
        </w:rPr>
        <w:t>fetish</w:t>
      </w:r>
      <w:commentRangeEnd w:id="10"/>
      <w:r w:rsidR="001E68AF">
        <w:rPr>
          <w:rStyle w:val="CommentReference"/>
        </w:rPr>
        <w:commentReference w:id="10"/>
      </w:r>
      <w:r w:rsidR="00D426E2">
        <w:rPr>
          <w:rFonts w:ascii="Times New Roman" w:hAnsi="Times New Roman"/>
        </w:rPr>
        <w:t>. I</w:t>
      </w:r>
      <w:r w:rsidR="00DB44EC">
        <w:rPr>
          <w:rFonts w:ascii="Times New Roman" w:hAnsi="Times New Roman"/>
        </w:rPr>
        <w:t>ts control over her remains too powerful</w:t>
      </w:r>
      <w:r w:rsidR="00D426E2">
        <w:rPr>
          <w:rFonts w:ascii="Times New Roman" w:hAnsi="Times New Roman"/>
        </w:rPr>
        <w:t>, as shown in the quote: “</w:t>
      </w:r>
      <w:r w:rsidR="00F338B7">
        <w:rPr>
          <w:rFonts w:ascii="Times New Roman" w:hAnsi="Times New Roman"/>
        </w:rPr>
        <w:t>…</w:t>
      </w:r>
      <w:r w:rsidR="00D426E2">
        <w:rPr>
          <w:rFonts w:ascii="Times New Roman" w:hAnsi="Times New Roman"/>
        </w:rPr>
        <w:t>the soap rears up in the soap dish, lathering, foaming, eager, ready” (Bender 220)</w:t>
      </w:r>
      <w:r w:rsidR="00DB44EC">
        <w:rPr>
          <w:rFonts w:ascii="Times New Roman" w:hAnsi="Times New Roman"/>
        </w:rPr>
        <w:t xml:space="preserve">. </w:t>
      </w:r>
      <w:r w:rsidR="00D426E2">
        <w:rPr>
          <w:rFonts w:ascii="Times New Roman" w:hAnsi="Times New Roman"/>
        </w:rPr>
        <w:t xml:space="preserve">Mona’s fetish makes soap a powerful object. </w:t>
      </w:r>
      <w:bookmarkStart w:id="11" w:name="_GoBack"/>
      <w:r w:rsidR="00D426E2">
        <w:rPr>
          <w:rFonts w:ascii="Times New Roman" w:hAnsi="Times New Roman"/>
        </w:rPr>
        <w:t>It is a palpable figure in her mind, eliciting a visceral physical reaction.</w:t>
      </w:r>
      <w:bookmarkEnd w:id="11"/>
      <w:r w:rsidR="00D426E2">
        <w:rPr>
          <w:rFonts w:ascii="Times New Roman" w:hAnsi="Times New Roman"/>
        </w:rPr>
        <w:t xml:space="preserve"> </w:t>
      </w:r>
      <w:commentRangeStart w:id="12"/>
      <w:r w:rsidR="00D426E2">
        <w:rPr>
          <w:rFonts w:ascii="Times New Roman" w:hAnsi="Times New Roman"/>
        </w:rPr>
        <w:t>It ‘rears’ animalistically, waiting for her, as no inanimate object should do.</w:t>
      </w:r>
      <w:commentRangeEnd w:id="12"/>
      <w:r w:rsidR="001E68AF">
        <w:rPr>
          <w:rStyle w:val="CommentReference"/>
        </w:rPr>
        <w:commentReference w:id="12"/>
      </w:r>
      <w:r w:rsidR="00D426E2">
        <w:rPr>
          <w:rFonts w:ascii="Times New Roman" w:hAnsi="Times New Roman"/>
        </w:rPr>
        <w:t xml:space="preserve"> </w:t>
      </w:r>
      <w:r w:rsidR="00F338B7">
        <w:rPr>
          <w:rFonts w:ascii="Times New Roman" w:hAnsi="Times New Roman"/>
        </w:rPr>
        <w:t>Mona</w:t>
      </w:r>
      <w:r w:rsidR="00D426E2">
        <w:rPr>
          <w:rFonts w:ascii="Times New Roman" w:hAnsi="Times New Roman"/>
        </w:rPr>
        <w:t xml:space="preserve"> is unable to combat this fetish alone - but she does begin to trust </w:t>
      </w:r>
      <w:r w:rsidR="00F338B7">
        <w:rPr>
          <w:rFonts w:ascii="Times New Roman" w:hAnsi="Times New Roman"/>
        </w:rPr>
        <w:t>others, particularly the</w:t>
      </w:r>
      <w:r w:rsidR="00D426E2">
        <w:rPr>
          <w:rFonts w:ascii="Times New Roman" w:hAnsi="Times New Roman"/>
        </w:rPr>
        <w:t xml:space="preserve"> science teacher. </w:t>
      </w:r>
      <w:r w:rsidR="00F338B7">
        <w:rPr>
          <w:rFonts w:ascii="Times New Roman" w:hAnsi="Times New Roman"/>
        </w:rPr>
        <w:t>Upon inviting the science teacher over, Mona tells him that</w:t>
      </w:r>
      <w:r w:rsidR="0090359F">
        <w:rPr>
          <w:rFonts w:ascii="Times New Roman" w:hAnsi="Times New Roman"/>
        </w:rPr>
        <w:t xml:space="preserve"> this time,</w:t>
      </w:r>
      <w:r w:rsidR="00F338B7">
        <w:rPr>
          <w:rFonts w:ascii="Times New Roman" w:hAnsi="Times New Roman"/>
        </w:rPr>
        <w:t xml:space="preserve"> if she tries to go to the bathroom, he must not let her go (Bender 199). </w:t>
      </w:r>
      <w:r w:rsidR="00D426E2">
        <w:rPr>
          <w:rFonts w:ascii="Times New Roman" w:hAnsi="Times New Roman"/>
        </w:rPr>
        <w:t xml:space="preserve">Mona values this growing relationship enough to try and resist her fetish with his help – a massive step in her </w:t>
      </w:r>
      <w:r w:rsidR="00D426E2">
        <w:rPr>
          <w:rFonts w:ascii="Times New Roman" w:hAnsi="Times New Roman"/>
        </w:rPr>
        <w:lastRenderedPageBreak/>
        <w:t>development as a character.</w:t>
      </w:r>
      <w:r w:rsidR="00F338B7">
        <w:rPr>
          <w:rFonts w:ascii="Times New Roman" w:hAnsi="Times New Roman"/>
        </w:rPr>
        <w:t xml:space="preserve"> As the scene progresses, </w:t>
      </w:r>
      <w:r w:rsidR="007906B3">
        <w:rPr>
          <w:rFonts w:ascii="Times New Roman" w:hAnsi="Times New Roman"/>
        </w:rPr>
        <w:t xml:space="preserve">Mona repeatedly states her need to ‘go to the bathroom’ and give into her fetish – and the science teacher repeatedly refuses her pleas. As he refuses, Mona’s trust in him as an ally in resisting her damaging fetish grows. This can be seen in how Mona’s descriptions of soap become less animated and feral: “Lather drains into the sink, thinning,” “In the next room, the soap is a quiet dry stone” (Bender 221-222). </w:t>
      </w:r>
      <w:r w:rsidR="008B0A15">
        <w:rPr>
          <w:rFonts w:ascii="Times New Roman" w:hAnsi="Times New Roman"/>
        </w:rPr>
        <w:t xml:space="preserve">Freud’s fetish develops in the stagnant hole that forms when a person refuses to accept the vulnerability of the world they inhabit. </w:t>
      </w:r>
      <w:commentRangeStart w:id="13"/>
      <w:r w:rsidR="008B0A15">
        <w:rPr>
          <w:rFonts w:ascii="Times New Roman" w:hAnsi="Times New Roman"/>
        </w:rPr>
        <w:t>Yet it can be overcome, through the delayed-but-not-impossible process of accepting personal powerlessness. Throughout the course of this novel, Mona</w:t>
      </w:r>
      <w:r w:rsidR="00DB44EC">
        <w:rPr>
          <w:rFonts w:ascii="Times New Roman" w:hAnsi="Times New Roman"/>
        </w:rPr>
        <w:t xml:space="preserve"> approaches this point of maturity that Freud describes, where she is no longer reliant on her fetish</w:t>
      </w:r>
      <w:commentRangeEnd w:id="13"/>
      <w:r w:rsidR="001E68AF">
        <w:rPr>
          <w:rStyle w:val="CommentReference"/>
        </w:rPr>
        <w:commentReference w:id="13"/>
      </w:r>
      <w:r w:rsidR="00DB44EC">
        <w:rPr>
          <w:rFonts w:ascii="Times New Roman" w:hAnsi="Times New Roman"/>
        </w:rPr>
        <w:t>. Though she does not fully cross the threshold of relinquishing this fetish entirely, she begins to surrender</w:t>
      </w:r>
      <w:r w:rsidR="008B0A15">
        <w:rPr>
          <w:rFonts w:ascii="Times New Roman" w:hAnsi="Times New Roman"/>
        </w:rPr>
        <w:t xml:space="preserve"> </w:t>
      </w:r>
      <w:r w:rsidR="00DB44EC">
        <w:rPr>
          <w:rFonts w:ascii="Times New Roman" w:hAnsi="Times New Roman"/>
        </w:rPr>
        <w:t xml:space="preserve">her ever-taut </w:t>
      </w:r>
      <w:r w:rsidR="008B0A15">
        <w:rPr>
          <w:rFonts w:ascii="Times New Roman" w:hAnsi="Times New Roman"/>
        </w:rPr>
        <w:t xml:space="preserve">control through her trust </w:t>
      </w:r>
      <w:r w:rsidR="00DB44EC">
        <w:rPr>
          <w:rFonts w:ascii="Times New Roman" w:hAnsi="Times New Roman"/>
        </w:rPr>
        <w:t xml:space="preserve">in her growing relationships, particularly with the science teacher. </w:t>
      </w:r>
    </w:p>
    <w:p w14:paraId="13E21611" w14:textId="63754AD6" w:rsidR="001E68AF" w:rsidRDefault="001E68AF">
      <w:pPr>
        <w:rPr>
          <w:rFonts w:ascii="Times New Roman" w:hAnsi="Times New Roman"/>
        </w:rPr>
      </w:pPr>
      <w:r>
        <w:rPr>
          <w:rFonts w:ascii="Times New Roman" w:hAnsi="Times New Roman"/>
        </w:rPr>
        <w:br w:type="page"/>
      </w:r>
    </w:p>
    <w:p w14:paraId="0E680CC1" w14:textId="77777777" w:rsidR="001E68AF" w:rsidRPr="000A330A" w:rsidRDefault="001E68AF" w:rsidP="001E68AF">
      <w:pPr>
        <w:jc w:val="center"/>
        <w:rPr>
          <w:sz w:val="28"/>
          <w:szCs w:val="28"/>
        </w:rPr>
      </w:pPr>
      <w:r>
        <w:rPr>
          <w:sz w:val="28"/>
          <w:szCs w:val="28"/>
        </w:rPr>
        <w:lastRenderedPageBreak/>
        <w:t>Second Scaffolding</w:t>
      </w:r>
      <w:r w:rsidRPr="000A330A">
        <w:rPr>
          <w:sz w:val="28"/>
          <w:szCs w:val="28"/>
        </w:rPr>
        <w:t xml:space="preserve"> Response Rubric</w:t>
      </w:r>
    </w:p>
    <w:p w14:paraId="48BE0B8C" w14:textId="77777777" w:rsidR="001E68AF" w:rsidRDefault="001E68AF" w:rsidP="001E68AF">
      <w:r>
        <w:t>Name:  Zoe Mertz</w:t>
      </w:r>
    </w:p>
    <w:p w14:paraId="3DCDE5FB" w14:textId="77777777" w:rsidR="001E68AF" w:rsidRDefault="001E68AF" w:rsidP="001E68AF"/>
    <w:p w14:paraId="1EFCAC25" w14:textId="77777777" w:rsidR="001E68AF" w:rsidRDefault="001E68AF" w:rsidP="001E68AF">
      <w:r>
        <w:t xml:space="preserve">         10-9</w:t>
      </w:r>
      <w:r>
        <w:tab/>
      </w:r>
      <w:r>
        <w:tab/>
        <w:t xml:space="preserve"> 8-6</w:t>
      </w:r>
      <w:r>
        <w:tab/>
      </w:r>
      <w:r>
        <w:tab/>
        <w:t xml:space="preserve">  </w:t>
      </w:r>
      <w:r>
        <w:tab/>
        <w:t>5-4</w:t>
      </w:r>
      <w:r>
        <w:tab/>
      </w:r>
      <w:r>
        <w:tab/>
        <w:t>3-2</w:t>
      </w:r>
      <w:r>
        <w:tab/>
      </w:r>
      <w:r>
        <w:tab/>
        <w:t>1-0</w:t>
      </w:r>
    </w:p>
    <w:tbl>
      <w:tblPr>
        <w:tblStyle w:val="TableGrid"/>
        <w:tblW w:w="0" w:type="auto"/>
        <w:tblLook w:val="04A0" w:firstRow="1" w:lastRow="0" w:firstColumn="1" w:lastColumn="0" w:noHBand="0" w:noVBand="1"/>
      </w:tblPr>
      <w:tblGrid>
        <w:gridCol w:w="1629"/>
        <w:gridCol w:w="1694"/>
        <w:gridCol w:w="1638"/>
        <w:gridCol w:w="1649"/>
        <w:gridCol w:w="1583"/>
        <w:gridCol w:w="1157"/>
      </w:tblGrid>
      <w:tr w:rsidR="001E68AF" w14:paraId="444C160D" w14:textId="77777777" w:rsidTr="00C67D48">
        <w:tc>
          <w:tcPr>
            <w:tcW w:w="1629" w:type="dxa"/>
          </w:tcPr>
          <w:p w14:paraId="5E64D8BD" w14:textId="77777777" w:rsidR="001E68AF" w:rsidRPr="00CD2DB3" w:rsidRDefault="001E68AF" w:rsidP="00C67D48">
            <w:pPr>
              <w:rPr>
                <w:sz w:val="22"/>
                <w:szCs w:val="22"/>
              </w:rPr>
            </w:pPr>
            <w:r w:rsidRPr="00CD2DB3">
              <w:rPr>
                <w:sz w:val="22"/>
                <w:szCs w:val="22"/>
              </w:rPr>
              <w:t>Clearly states and understands</w:t>
            </w:r>
          </w:p>
          <w:p w14:paraId="5DDBA792" w14:textId="77777777" w:rsidR="001E68AF" w:rsidRPr="00CD2DB3" w:rsidRDefault="001E68AF" w:rsidP="00C67D48">
            <w:pPr>
              <w:rPr>
                <w:sz w:val="22"/>
                <w:szCs w:val="22"/>
              </w:rPr>
            </w:pPr>
            <w:r>
              <w:rPr>
                <w:sz w:val="22"/>
                <w:szCs w:val="22"/>
              </w:rPr>
              <w:t>theory</w:t>
            </w:r>
            <w:r w:rsidRPr="00CD2DB3">
              <w:rPr>
                <w:sz w:val="22"/>
                <w:szCs w:val="22"/>
              </w:rPr>
              <w:t>. Uses quotations and focuses on specific term(s)</w:t>
            </w:r>
          </w:p>
          <w:p w14:paraId="4EB86EDE" w14:textId="77777777" w:rsidR="001E68AF" w:rsidRPr="00CD2DB3" w:rsidRDefault="001E68AF" w:rsidP="00C67D48">
            <w:pPr>
              <w:rPr>
                <w:sz w:val="22"/>
                <w:szCs w:val="22"/>
              </w:rPr>
            </w:pPr>
          </w:p>
        </w:tc>
        <w:tc>
          <w:tcPr>
            <w:tcW w:w="1694" w:type="dxa"/>
          </w:tcPr>
          <w:p w14:paraId="14822AE5" w14:textId="77777777" w:rsidR="001E68AF" w:rsidRPr="00CD2DB3" w:rsidRDefault="001E68AF" w:rsidP="00C67D48">
            <w:pPr>
              <w:rPr>
                <w:sz w:val="22"/>
                <w:szCs w:val="22"/>
              </w:rPr>
            </w:pPr>
            <w:r>
              <w:rPr>
                <w:sz w:val="22"/>
                <w:szCs w:val="22"/>
              </w:rPr>
              <w:t>Shows good understanding of theory</w:t>
            </w:r>
            <w:r w:rsidRPr="00CD2DB3">
              <w:rPr>
                <w:sz w:val="22"/>
                <w:szCs w:val="22"/>
              </w:rPr>
              <w:t xml:space="preserve"> and presents general ideas.  Could be more specific regarding terms.</w:t>
            </w:r>
          </w:p>
        </w:tc>
        <w:tc>
          <w:tcPr>
            <w:tcW w:w="1638" w:type="dxa"/>
          </w:tcPr>
          <w:p w14:paraId="60B44A69" w14:textId="77777777" w:rsidR="001E68AF" w:rsidRPr="00CD2DB3" w:rsidRDefault="001E68AF" w:rsidP="00C67D48">
            <w:pPr>
              <w:rPr>
                <w:sz w:val="22"/>
                <w:szCs w:val="22"/>
              </w:rPr>
            </w:pPr>
            <w:r>
              <w:rPr>
                <w:sz w:val="22"/>
                <w:szCs w:val="22"/>
              </w:rPr>
              <w:t>Offers general claims about theory</w:t>
            </w:r>
            <w:r w:rsidRPr="00CD2DB3">
              <w:rPr>
                <w:sz w:val="22"/>
                <w:szCs w:val="22"/>
              </w:rPr>
              <w:t xml:space="preserve"> but tends to be too general. Quotations don’t match discussion.</w:t>
            </w:r>
          </w:p>
        </w:tc>
        <w:tc>
          <w:tcPr>
            <w:tcW w:w="1649" w:type="dxa"/>
          </w:tcPr>
          <w:p w14:paraId="7F979953" w14:textId="77777777" w:rsidR="001E68AF" w:rsidRPr="00CD2DB3" w:rsidRDefault="001E68AF" w:rsidP="00C67D48">
            <w:pPr>
              <w:rPr>
                <w:sz w:val="22"/>
                <w:szCs w:val="22"/>
              </w:rPr>
            </w:pPr>
            <w:r>
              <w:rPr>
                <w:sz w:val="22"/>
                <w:szCs w:val="22"/>
              </w:rPr>
              <w:t>Vague claims about theory</w:t>
            </w:r>
            <w:r w:rsidRPr="00CD2DB3">
              <w:rPr>
                <w:sz w:val="22"/>
                <w:szCs w:val="22"/>
              </w:rPr>
              <w:t>. Little or no focus on terms or use of quotations.</w:t>
            </w:r>
          </w:p>
        </w:tc>
        <w:tc>
          <w:tcPr>
            <w:tcW w:w="1583" w:type="dxa"/>
          </w:tcPr>
          <w:p w14:paraId="75E1F6AA" w14:textId="77777777" w:rsidR="001E68AF" w:rsidRPr="00CD2DB3" w:rsidRDefault="001E68AF" w:rsidP="00C67D48">
            <w:pPr>
              <w:rPr>
                <w:sz w:val="22"/>
                <w:szCs w:val="22"/>
              </w:rPr>
            </w:pPr>
            <w:r>
              <w:rPr>
                <w:sz w:val="22"/>
                <w:szCs w:val="22"/>
              </w:rPr>
              <w:t>Who’s Hyde, what’s a gift?</w:t>
            </w:r>
            <w:r w:rsidRPr="00CD2DB3">
              <w:rPr>
                <w:sz w:val="22"/>
                <w:szCs w:val="22"/>
              </w:rPr>
              <w:t xml:space="preserve">  </w:t>
            </w:r>
          </w:p>
        </w:tc>
        <w:tc>
          <w:tcPr>
            <w:tcW w:w="1157" w:type="dxa"/>
          </w:tcPr>
          <w:p w14:paraId="78C0DF26" w14:textId="77777777" w:rsidR="001E68AF" w:rsidRDefault="001E68AF" w:rsidP="00C67D48">
            <w:pPr>
              <w:rPr>
                <w:sz w:val="22"/>
                <w:szCs w:val="22"/>
              </w:rPr>
            </w:pPr>
          </w:p>
          <w:p w14:paraId="1A3DBDB4" w14:textId="77777777" w:rsidR="001E68AF" w:rsidRDefault="001E68AF" w:rsidP="00C67D48">
            <w:pPr>
              <w:rPr>
                <w:sz w:val="22"/>
                <w:szCs w:val="22"/>
              </w:rPr>
            </w:pPr>
          </w:p>
          <w:p w14:paraId="4DA35079" w14:textId="77777777" w:rsidR="001E68AF" w:rsidRDefault="001E68AF" w:rsidP="00C67D48">
            <w:pPr>
              <w:rPr>
                <w:sz w:val="22"/>
                <w:szCs w:val="22"/>
              </w:rPr>
            </w:pPr>
          </w:p>
          <w:p w14:paraId="0D5300A3" w14:textId="77777777" w:rsidR="001E68AF" w:rsidRPr="00CD2DB3" w:rsidRDefault="001E68AF" w:rsidP="00C67D48">
            <w:pPr>
              <w:rPr>
                <w:sz w:val="22"/>
                <w:szCs w:val="22"/>
              </w:rPr>
            </w:pPr>
            <w:r>
              <w:rPr>
                <w:sz w:val="22"/>
                <w:szCs w:val="22"/>
              </w:rPr>
              <w:t>10</w:t>
            </w:r>
          </w:p>
        </w:tc>
      </w:tr>
      <w:tr w:rsidR="001E68AF" w14:paraId="36E3EE4F" w14:textId="77777777" w:rsidTr="00C67D48">
        <w:tc>
          <w:tcPr>
            <w:tcW w:w="1629" w:type="dxa"/>
          </w:tcPr>
          <w:p w14:paraId="35F6CA56" w14:textId="77777777" w:rsidR="001E68AF" w:rsidRPr="00CD2DB3" w:rsidRDefault="001E68AF" w:rsidP="00C67D48">
            <w:pPr>
              <w:rPr>
                <w:sz w:val="22"/>
                <w:szCs w:val="22"/>
              </w:rPr>
            </w:pPr>
            <w:r>
              <w:rPr>
                <w:sz w:val="22"/>
                <w:szCs w:val="22"/>
              </w:rPr>
              <w:t>Uses theoretical</w:t>
            </w:r>
            <w:r w:rsidRPr="00CD2DB3">
              <w:rPr>
                <w:sz w:val="22"/>
                <w:szCs w:val="22"/>
              </w:rPr>
              <w:t xml:space="preserve"> terms to build a specific bridge to the novel. Defines the connection between the concepts and the textual analysis.</w:t>
            </w:r>
          </w:p>
          <w:p w14:paraId="57BD285F" w14:textId="77777777" w:rsidR="001E68AF" w:rsidRPr="00CD2DB3" w:rsidRDefault="001E68AF" w:rsidP="00C67D48">
            <w:pPr>
              <w:rPr>
                <w:sz w:val="22"/>
                <w:szCs w:val="22"/>
              </w:rPr>
            </w:pPr>
          </w:p>
        </w:tc>
        <w:tc>
          <w:tcPr>
            <w:tcW w:w="1694" w:type="dxa"/>
          </w:tcPr>
          <w:p w14:paraId="0EC2AA45" w14:textId="77777777" w:rsidR="001E68AF" w:rsidRPr="00CD2DB3" w:rsidRDefault="001E68AF" w:rsidP="00C67D48">
            <w:pPr>
              <w:rPr>
                <w:sz w:val="22"/>
                <w:szCs w:val="22"/>
              </w:rPr>
            </w:pPr>
            <w:r w:rsidRPr="00CD2DB3">
              <w:rPr>
                <w:sz w:val="22"/>
                <w:szCs w:val="22"/>
              </w:rPr>
              <w:t xml:space="preserve">Makes a more general bridge to the novel.  </w:t>
            </w:r>
            <w:r>
              <w:rPr>
                <w:sz w:val="22"/>
                <w:szCs w:val="22"/>
              </w:rPr>
              <w:t>Theorist’s</w:t>
            </w:r>
            <w:r w:rsidRPr="00CD2DB3">
              <w:rPr>
                <w:sz w:val="22"/>
                <w:szCs w:val="22"/>
              </w:rPr>
              <w:t xml:space="preserve"> concepts help focus on passage from novel.  Could define more specifically.</w:t>
            </w:r>
          </w:p>
        </w:tc>
        <w:tc>
          <w:tcPr>
            <w:tcW w:w="1638" w:type="dxa"/>
          </w:tcPr>
          <w:p w14:paraId="5D0ABFCE" w14:textId="77777777" w:rsidR="001E68AF" w:rsidRPr="00CD2DB3" w:rsidRDefault="001E68AF" w:rsidP="00C67D48">
            <w:pPr>
              <w:rPr>
                <w:sz w:val="22"/>
                <w:szCs w:val="22"/>
              </w:rPr>
            </w:pPr>
            <w:r w:rsidRPr="00CD2DB3">
              <w:rPr>
                <w:sz w:val="22"/>
                <w:szCs w:val="22"/>
              </w:rPr>
              <w:t>Bridge to novel is shaky, e</w:t>
            </w:r>
            <w:r>
              <w:rPr>
                <w:sz w:val="22"/>
                <w:szCs w:val="22"/>
              </w:rPr>
              <w:t>ither by failing to clarify theory</w:t>
            </w:r>
            <w:r w:rsidRPr="00CD2DB3">
              <w:rPr>
                <w:sz w:val="22"/>
                <w:szCs w:val="22"/>
              </w:rPr>
              <w:t xml:space="preserve"> or that the connection to novel isn’t clear.</w:t>
            </w:r>
          </w:p>
        </w:tc>
        <w:tc>
          <w:tcPr>
            <w:tcW w:w="1649" w:type="dxa"/>
          </w:tcPr>
          <w:p w14:paraId="006D1828" w14:textId="77777777" w:rsidR="001E68AF" w:rsidRPr="00CD2DB3" w:rsidRDefault="001E68AF" w:rsidP="00C67D48">
            <w:pPr>
              <w:rPr>
                <w:sz w:val="22"/>
                <w:szCs w:val="22"/>
              </w:rPr>
            </w:pPr>
            <w:r w:rsidRPr="00CD2DB3">
              <w:rPr>
                <w:sz w:val="22"/>
                <w:szCs w:val="22"/>
              </w:rPr>
              <w:t>Bridge to novel is still under construction.  Needs more specific terms to help foundation. Relevance to novel is shaky.</w:t>
            </w:r>
          </w:p>
        </w:tc>
        <w:tc>
          <w:tcPr>
            <w:tcW w:w="1583" w:type="dxa"/>
          </w:tcPr>
          <w:p w14:paraId="74447398" w14:textId="77777777" w:rsidR="001E68AF" w:rsidRPr="00CD2DB3" w:rsidRDefault="001E68AF" w:rsidP="00C67D48">
            <w:pPr>
              <w:rPr>
                <w:sz w:val="22"/>
                <w:szCs w:val="22"/>
              </w:rPr>
            </w:pPr>
            <w:r w:rsidRPr="00CD2DB3">
              <w:rPr>
                <w:sz w:val="22"/>
                <w:szCs w:val="22"/>
              </w:rPr>
              <w:t>Who needs a bridge, I’ll fly instead!</w:t>
            </w:r>
          </w:p>
        </w:tc>
        <w:tc>
          <w:tcPr>
            <w:tcW w:w="1157" w:type="dxa"/>
          </w:tcPr>
          <w:p w14:paraId="01138FDA" w14:textId="77777777" w:rsidR="001E68AF" w:rsidRDefault="001E68AF" w:rsidP="00C67D48">
            <w:pPr>
              <w:rPr>
                <w:sz w:val="22"/>
                <w:szCs w:val="22"/>
              </w:rPr>
            </w:pPr>
          </w:p>
          <w:p w14:paraId="66823FFC" w14:textId="77777777" w:rsidR="001E68AF" w:rsidRDefault="001E68AF" w:rsidP="00C67D48">
            <w:pPr>
              <w:rPr>
                <w:sz w:val="22"/>
                <w:szCs w:val="22"/>
              </w:rPr>
            </w:pPr>
          </w:p>
          <w:p w14:paraId="2DDDA3AE" w14:textId="77777777" w:rsidR="001E68AF" w:rsidRDefault="001E68AF" w:rsidP="00C67D48">
            <w:pPr>
              <w:rPr>
                <w:sz w:val="22"/>
                <w:szCs w:val="22"/>
              </w:rPr>
            </w:pPr>
          </w:p>
          <w:p w14:paraId="2ADD1631" w14:textId="77777777" w:rsidR="001E68AF" w:rsidRDefault="001E68AF" w:rsidP="00C67D48">
            <w:pPr>
              <w:rPr>
                <w:sz w:val="22"/>
                <w:szCs w:val="22"/>
              </w:rPr>
            </w:pPr>
          </w:p>
          <w:p w14:paraId="7EA91051" w14:textId="77777777" w:rsidR="001E68AF" w:rsidRPr="00CD2DB3" w:rsidRDefault="001E68AF" w:rsidP="00C67D48">
            <w:pPr>
              <w:rPr>
                <w:sz w:val="22"/>
                <w:szCs w:val="22"/>
              </w:rPr>
            </w:pPr>
            <w:r>
              <w:rPr>
                <w:sz w:val="22"/>
                <w:szCs w:val="22"/>
              </w:rPr>
              <w:t>9</w:t>
            </w:r>
          </w:p>
        </w:tc>
      </w:tr>
      <w:tr w:rsidR="001E68AF" w14:paraId="639B07EC" w14:textId="77777777" w:rsidTr="00C67D48">
        <w:tc>
          <w:tcPr>
            <w:tcW w:w="1629" w:type="dxa"/>
          </w:tcPr>
          <w:p w14:paraId="613A2257" w14:textId="77777777" w:rsidR="001E68AF" w:rsidRPr="00CD2DB3" w:rsidRDefault="001E68AF" w:rsidP="00C67D48">
            <w:pPr>
              <w:rPr>
                <w:sz w:val="22"/>
                <w:szCs w:val="22"/>
              </w:rPr>
            </w:pPr>
            <w:r w:rsidRPr="00CD2DB3">
              <w:rPr>
                <w:sz w:val="22"/>
                <w:szCs w:val="22"/>
              </w:rPr>
              <w:t>Close-reads specific passage from novel, discussing language of gifts, and offering insightful analysis.</w:t>
            </w:r>
          </w:p>
          <w:p w14:paraId="0E44550D" w14:textId="77777777" w:rsidR="001E68AF" w:rsidRPr="00CD2DB3" w:rsidRDefault="001E68AF" w:rsidP="00C67D48">
            <w:pPr>
              <w:rPr>
                <w:sz w:val="22"/>
                <w:szCs w:val="22"/>
              </w:rPr>
            </w:pPr>
          </w:p>
        </w:tc>
        <w:tc>
          <w:tcPr>
            <w:tcW w:w="1694" w:type="dxa"/>
          </w:tcPr>
          <w:p w14:paraId="6E7F8759" w14:textId="77777777" w:rsidR="001E68AF" w:rsidRPr="00CD2DB3" w:rsidRDefault="001E68AF" w:rsidP="00C67D48">
            <w:pPr>
              <w:rPr>
                <w:sz w:val="22"/>
                <w:szCs w:val="22"/>
              </w:rPr>
            </w:pPr>
            <w:r w:rsidRPr="00CD2DB3">
              <w:rPr>
                <w:sz w:val="22"/>
                <w:szCs w:val="22"/>
              </w:rPr>
              <w:t>Makes anecdotal rather than textual analysis.  Refers to language but with less analysis.</w:t>
            </w:r>
          </w:p>
        </w:tc>
        <w:tc>
          <w:tcPr>
            <w:tcW w:w="1638" w:type="dxa"/>
          </w:tcPr>
          <w:p w14:paraId="2D7840F1" w14:textId="77777777" w:rsidR="001E68AF" w:rsidRPr="00CD2DB3" w:rsidRDefault="001E68AF" w:rsidP="00C67D48">
            <w:pPr>
              <w:rPr>
                <w:sz w:val="22"/>
                <w:szCs w:val="22"/>
              </w:rPr>
            </w:pPr>
            <w:r w:rsidRPr="00CD2DB3">
              <w:rPr>
                <w:sz w:val="22"/>
                <w:szCs w:val="22"/>
              </w:rPr>
              <w:t>Mostly anecdotal (lacking textual references). Describes what happens rather than analyzes its significance.</w:t>
            </w:r>
          </w:p>
        </w:tc>
        <w:tc>
          <w:tcPr>
            <w:tcW w:w="1649" w:type="dxa"/>
          </w:tcPr>
          <w:p w14:paraId="79602EB2" w14:textId="77777777" w:rsidR="001E68AF" w:rsidRPr="00CD2DB3" w:rsidRDefault="001E68AF" w:rsidP="00C67D48">
            <w:pPr>
              <w:rPr>
                <w:sz w:val="22"/>
                <w:szCs w:val="22"/>
              </w:rPr>
            </w:pPr>
            <w:r w:rsidRPr="00CD2DB3">
              <w:rPr>
                <w:sz w:val="22"/>
                <w:szCs w:val="22"/>
              </w:rPr>
              <w:t>Makes general references to language but lacks analysis and close-reading.</w:t>
            </w:r>
          </w:p>
        </w:tc>
        <w:tc>
          <w:tcPr>
            <w:tcW w:w="1583" w:type="dxa"/>
          </w:tcPr>
          <w:p w14:paraId="79EC5800" w14:textId="77777777" w:rsidR="001E68AF" w:rsidRPr="00CD2DB3" w:rsidRDefault="001E68AF" w:rsidP="00C67D48">
            <w:pPr>
              <w:rPr>
                <w:sz w:val="22"/>
                <w:szCs w:val="22"/>
              </w:rPr>
            </w:pPr>
            <w:r w:rsidRPr="00CD2DB3">
              <w:rPr>
                <w:sz w:val="22"/>
                <w:szCs w:val="22"/>
              </w:rPr>
              <w:t>No close-reading of language.  No analysis of novel or character.  Who’s Mona?</w:t>
            </w:r>
          </w:p>
        </w:tc>
        <w:tc>
          <w:tcPr>
            <w:tcW w:w="1157" w:type="dxa"/>
          </w:tcPr>
          <w:p w14:paraId="7AF8E338" w14:textId="77777777" w:rsidR="001E68AF" w:rsidRDefault="001E68AF" w:rsidP="00C67D48">
            <w:pPr>
              <w:rPr>
                <w:sz w:val="22"/>
                <w:szCs w:val="22"/>
              </w:rPr>
            </w:pPr>
          </w:p>
          <w:p w14:paraId="3931D8D9" w14:textId="77777777" w:rsidR="001E68AF" w:rsidRDefault="001E68AF" w:rsidP="00C67D48">
            <w:pPr>
              <w:rPr>
                <w:sz w:val="22"/>
                <w:szCs w:val="22"/>
              </w:rPr>
            </w:pPr>
          </w:p>
          <w:p w14:paraId="4858E043" w14:textId="77777777" w:rsidR="001E68AF" w:rsidRDefault="001E68AF" w:rsidP="00C67D48">
            <w:pPr>
              <w:rPr>
                <w:sz w:val="22"/>
                <w:szCs w:val="22"/>
              </w:rPr>
            </w:pPr>
          </w:p>
          <w:p w14:paraId="14A0459B" w14:textId="77777777" w:rsidR="001E68AF" w:rsidRPr="00CD2DB3" w:rsidRDefault="001E68AF" w:rsidP="00C67D48">
            <w:pPr>
              <w:rPr>
                <w:sz w:val="22"/>
                <w:szCs w:val="22"/>
              </w:rPr>
            </w:pPr>
            <w:r>
              <w:rPr>
                <w:sz w:val="22"/>
                <w:szCs w:val="22"/>
              </w:rPr>
              <w:t>9</w:t>
            </w:r>
          </w:p>
        </w:tc>
      </w:tr>
      <w:tr w:rsidR="001E68AF" w14:paraId="7BDF0106" w14:textId="77777777" w:rsidTr="00C67D48">
        <w:tc>
          <w:tcPr>
            <w:tcW w:w="1629" w:type="dxa"/>
          </w:tcPr>
          <w:p w14:paraId="4D8BE6EA" w14:textId="77777777" w:rsidR="001E68AF" w:rsidRPr="00CD2DB3" w:rsidRDefault="001E68AF" w:rsidP="00C67D48">
            <w:pPr>
              <w:rPr>
                <w:sz w:val="22"/>
                <w:szCs w:val="22"/>
              </w:rPr>
            </w:pPr>
            <w:r w:rsidRPr="00CD2DB3">
              <w:rPr>
                <w:sz w:val="22"/>
                <w:szCs w:val="22"/>
              </w:rPr>
              <w:t xml:space="preserve">Write clearly without serious grammatical issues.  </w:t>
            </w:r>
          </w:p>
          <w:p w14:paraId="0B26745B" w14:textId="77777777" w:rsidR="001E68AF" w:rsidRPr="00CD2DB3" w:rsidRDefault="001E68AF" w:rsidP="00C67D48">
            <w:pPr>
              <w:rPr>
                <w:sz w:val="22"/>
                <w:szCs w:val="22"/>
              </w:rPr>
            </w:pPr>
          </w:p>
        </w:tc>
        <w:tc>
          <w:tcPr>
            <w:tcW w:w="1694" w:type="dxa"/>
          </w:tcPr>
          <w:p w14:paraId="5D4A7643" w14:textId="77777777" w:rsidR="001E68AF" w:rsidRPr="00CD2DB3" w:rsidRDefault="001E68AF" w:rsidP="00C67D48">
            <w:pPr>
              <w:rPr>
                <w:sz w:val="22"/>
                <w:szCs w:val="22"/>
              </w:rPr>
            </w:pPr>
            <w:r w:rsidRPr="00CD2DB3">
              <w:rPr>
                <w:sz w:val="22"/>
                <w:szCs w:val="22"/>
              </w:rPr>
              <w:t>Generally good writing with a few issues (pronouns, etc.)</w:t>
            </w:r>
          </w:p>
        </w:tc>
        <w:tc>
          <w:tcPr>
            <w:tcW w:w="1638" w:type="dxa"/>
          </w:tcPr>
          <w:p w14:paraId="0CA7D2D1" w14:textId="77777777" w:rsidR="001E68AF" w:rsidRPr="00CD2DB3" w:rsidRDefault="001E68AF" w:rsidP="00C67D48">
            <w:pPr>
              <w:rPr>
                <w:sz w:val="22"/>
                <w:szCs w:val="22"/>
              </w:rPr>
            </w:pPr>
            <w:r w:rsidRPr="00CD2DB3">
              <w:rPr>
                <w:sz w:val="22"/>
                <w:szCs w:val="22"/>
              </w:rPr>
              <w:t>Awkward syntax, several grammatical issues.</w:t>
            </w:r>
          </w:p>
        </w:tc>
        <w:tc>
          <w:tcPr>
            <w:tcW w:w="1649" w:type="dxa"/>
          </w:tcPr>
          <w:p w14:paraId="1D4F53AD" w14:textId="77777777" w:rsidR="001E68AF" w:rsidRPr="00CD2DB3" w:rsidRDefault="001E68AF" w:rsidP="00C67D48">
            <w:pPr>
              <w:rPr>
                <w:sz w:val="22"/>
                <w:szCs w:val="22"/>
              </w:rPr>
            </w:pPr>
            <w:r w:rsidRPr="00CD2DB3">
              <w:rPr>
                <w:sz w:val="22"/>
                <w:szCs w:val="22"/>
              </w:rPr>
              <w:t>Difficult to read because of syntax, grammar, or other issues.</w:t>
            </w:r>
          </w:p>
        </w:tc>
        <w:tc>
          <w:tcPr>
            <w:tcW w:w="1583" w:type="dxa"/>
          </w:tcPr>
          <w:p w14:paraId="0749CCB9" w14:textId="77777777" w:rsidR="001E68AF" w:rsidRPr="00CD2DB3" w:rsidRDefault="001E68AF" w:rsidP="00C67D48">
            <w:pPr>
              <w:rPr>
                <w:sz w:val="22"/>
                <w:szCs w:val="22"/>
              </w:rPr>
            </w:pPr>
            <w:r w:rsidRPr="00CD2DB3">
              <w:rPr>
                <w:sz w:val="22"/>
                <w:szCs w:val="22"/>
              </w:rPr>
              <w:t>Writing isn’t my thing.</w:t>
            </w:r>
          </w:p>
        </w:tc>
        <w:tc>
          <w:tcPr>
            <w:tcW w:w="1157" w:type="dxa"/>
          </w:tcPr>
          <w:p w14:paraId="353F8384" w14:textId="77777777" w:rsidR="001E68AF" w:rsidRDefault="001E68AF" w:rsidP="00C67D48">
            <w:pPr>
              <w:rPr>
                <w:sz w:val="22"/>
                <w:szCs w:val="22"/>
              </w:rPr>
            </w:pPr>
          </w:p>
          <w:p w14:paraId="60A51C2B" w14:textId="77777777" w:rsidR="001E68AF" w:rsidRDefault="001E68AF" w:rsidP="00C67D48">
            <w:pPr>
              <w:rPr>
                <w:sz w:val="22"/>
                <w:szCs w:val="22"/>
              </w:rPr>
            </w:pPr>
          </w:p>
          <w:p w14:paraId="393686D2" w14:textId="77777777" w:rsidR="001E68AF" w:rsidRPr="00CD2DB3" w:rsidRDefault="001E68AF" w:rsidP="00C67D48">
            <w:pPr>
              <w:rPr>
                <w:sz w:val="22"/>
                <w:szCs w:val="22"/>
              </w:rPr>
            </w:pPr>
            <w:r>
              <w:rPr>
                <w:sz w:val="22"/>
                <w:szCs w:val="22"/>
              </w:rPr>
              <w:t>10</w:t>
            </w:r>
          </w:p>
        </w:tc>
      </w:tr>
    </w:tbl>
    <w:p w14:paraId="3537421C" w14:textId="77777777" w:rsidR="001E68AF" w:rsidRDefault="001E68AF" w:rsidP="001E68AF">
      <w:r>
        <w:t>Grade:  38</w:t>
      </w:r>
      <w:r>
        <w:tab/>
        <w:t>Comments:  Zoe:  An excellent discussion here!  You’ve done a really good job with Freud and your discussion of the novel is focused, well-supported with textual evidence, and lucidly argued.   You can still do a bit more with the language from the novel, and probably with Freud too.  Your final paragraph is great, but it needs a bit more framework to help pull together your important point.  But your opening paragraph does a great job on Freud and the novel.  Nicely done!</w:t>
      </w:r>
    </w:p>
    <w:p w14:paraId="6F066EC3" w14:textId="24148C10" w:rsidR="006B3EA1" w:rsidRPr="003300B2" w:rsidRDefault="006B3EA1" w:rsidP="001E68AF">
      <w:pPr>
        <w:ind w:left="360"/>
        <w:rPr>
          <w:rFonts w:ascii="Times New Roman" w:hAnsi="Times New Roman"/>
        </w:rPr>
      </w:pPr>
    </w:p>
    <w:sectPr w:rsidR="006B3EA1" w:rsidRPr="003300B2" w:rsidSect="00C51E0B">
      <w:headerReference w:type="default" r:id="rId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k Patterson" w:date="2019-04-26T13:43:00Z" w:initials="MP">
    <w:p w14:paraId="1E8C30C9" w14:textId="686BD5CC" w:rsidR="002D1729" w:rsidRDefault="002D1729">
      <w:pPr>
        <w:pStyle w:val="CommentText"/>
      </w:pPr>
      <w:r>
        <w:rPr>
          <w:rStyle w:val="CommentReference"/>
        </w:rPr>
        <w:annotationRef/>
      </w:r>
      <w:r>
        <w:t>Nice move to Freud.</w:t>
      </w:r>
    </w:p>
  </w:comment>
  <w:comment w:id="1" w:author="Mark Patterson" w:date="2019-04-26T13:43:00Z" w:initials="MP">
    <w:p w14:paraId="0BF5E1A2" w14:textId="18ECA26D" w:rsidR="002D1729" w:rsidRDefault="002D1729">
      <w:pPr>
        <w:pStyle w:val="CommentText"/>
      </w:pPr>
      <w:r>
        <w:rPr>
          <w:rStyle w:val="CommentReference"/>
        </w:rPr>
        <w:annotationRef/>
      </w:r>
      <w:r>
        <w:t>Or her—since it’s singular.</w:t>
      </w:r>
    </w:p>
  </w:comment>
  <w:comment w:id="2" w:author="Mark Patterson" w:date="2019-04-26T13:44:00Z" w:initials="MP">
    <w:p w14:paraId="491FF91A" w14:textId="5B6309E6" w:rsidR="002D1729" w:rsidRDefault="002D1729">
      <w:pPr>
        <w:pStyle w:val="CommentText"/>
      </w:pPr>
      <w:r>
        <w:rPr>
          <w:rStyle w:val="CommentReference"/>
        </w:rPr>
        <w:annotationRef/>
      </w:r>
      <w:r>
        <w:t>Good explanation.</w:t>
      </w:r>
    </w:p>
  </w:comment>
  <w:comment w:id="3" w:author="Mark Patterson" w:date="2019-04-26T13:45:00Z" w:initials="MP">
    <w:p w14:paraId="017F9606" w14:textId="1A3AA1C8" w:rsidR="002D1729" w:rsidRDefault="002D1729">
      <w:pPr>
        <w:pStyle w:val="CommentText"/>
      </w:pPr>
      <w:r>
        <w:rPr>
          <w:rStyle w:val="CommentReference"/>
        </w:rPr>
        <w:annotationRef/>
      </w:r>
      <w:r>
        <w:t>Not “perhaps”:  be assertive!</w:t>
      </w:r>
    </w:p>
  </w:comment>
  <w:comment w:id="4" w:author="Mark Patterson" w:date="2019-04-26T13:46:00Z" w:initials="MP">
    <w:p w14:paraId="565D2B3B" w14:textId="340DEBAD" w:rsidR="002D1729" w:rsidRDefault="002D1729">
      <w:pPr>
        <w:pStyle w:val="CommentText"/>
      </w:pPr>
      <w:r>
        <w:rPr>
          <w:rStyle w:val="CommentReference"/>
        </w:rPr>
        <w:annotationRef/>
      </w:r>
      <w:r>
        <w:t>Nice opening!  You get a lot of work done here.</w:t>
      </w:r>
    </w:p>
  </w:comment>
  <w:comment w:id="5" w:author="Mark Patterson" w:date="2019-04-26T13:47:00Z" w:initials="MP">
    <w:p w14:paraId="15170FF6" w14:textId="12255A1C" w:rsidR="002D1729" w:rsidRDefault="002D1729">
      <w:pPr>
        <w:pStyle w:val="CommentText"/>
      </w:pPr>
      <w:r>
        <w:rPr>
          <w:rStyle w:val="CommentReference"/>
        </w:rPr>
        <w:annotationRef/>
      </w:r>
      <w:r>
        <w:t>A good point, but don’t hide it within parentheses.  It’s relevant to your argument (and Freud’s theory), so incorporate it fully.</w:t>
      </w:r>
    </w:p>
  </w:comment>
  <w:comment w:id="6" w:author="Mark Patterson" w:date="2019-04-26T13:48:00Z" w:initials="MP">
    <w:p w14:paraId="3DFE99D2" w14:textId="5E9B923B" w:rsidR="002D1729" w:rsidRDefault="002D1729">
      <w:pPr>
        <w:pStyle w:val="CommentText"/>
      </w:pPr>
      <w:r>
        <w:rPr>
          <w:rStyle w:val="CommentReference"/>
        </w:rPr>
        <w:annotationRef/>
      </w:r>
      <w:r>
        <w:t>Good point and I like how you end the paragraph with a summation of its main claim.</w:t>
      </w:r>
    </w:p>
  </w:comment>
  <w:comment w:id="7" w:author="Mark Patterson" w:date="2019-04-26T13:49:00Z" w:initials="MP">
    <w:p w14:paraId="1145CD8F" w14:textId="21CA7932" w:rsidR="002D1729" w:rsidRDefault="002D1729">
      <w:pPr>
        <w:pStyle w:val="CommentText"/>
      </w:pPr>
      <w:r>
        <w:rPr>
          <w:rStyle w:val="CommentReference"/>
        </w:rPr>
        <w:annotationRef/>
      </w:r>
      <w:r>
        <w:t>Use your topic sentence to make a claim that focuses your argument in this paragraph.</w:t>
      </w:r>
    </w:p>
  </w:comment>
  <w:comment w:id="8" w:author="Mark Patterson" w:date="2019-04-26T13:50:00Z" w:initials="MP">
    <w:p w14:paraId="51EA850E" w14:textId="7B83CDA4" w:rsidR="002D1729" w:rsidRDefault="002D1729">
      <w:pPr>
        <w:pStyle w:val="CommentText"/>
      </w:pPr>
      <w:r>
        <w:rPr>
          <w:rStyle w:val="CommentReference"/>
        </w:rPr>
        <w:annotationRef/>
      </w:r>
      <w:r>
        <w:t>Good quote, but give some attention to it because it contains many issues you’ve already raised.  Make it work for you.</w:t>
      </w:r>
    </w:p>
  </w:comment>
  <w:comment w:id="9" w:author="Mark Patterson" w:date="2019-04-26T13:51:00Z" w:initials="MP">
    <w:p w14:paraId="0A750DFC" w14:textId="4169EE36" w:rsidR="002D1729" w:rsidRDefault="002D1729">
      <w:pPr>
        <w:pStyle w:val="CommentText"/>
      </w:pPr>
      <w:r>
        <w:rPr>
          <w:rStyle w:val="CommentReference"/>
        </w:rPr>
        <w:annotationRef/>
      </w:r>
      <w:r>
        <w:t>Good attention to the contradictory language.  And not only her relationship with the fetish, but with the fetish’s own contradictory nature.</w:t>
      </w:r>
    </w:p>
  </w:comment>
  <w:comment w:id="10" w:author="Mark Patterson" w:date="2019-04-26T13:53:00Z" w:initials="MP">
    <w:p w14:paraId="3F38D327" w14:textId="5E9C2AAA" w:rsidR="002D1729" w:rsidRDefault="002D1729">
      <w:pPr>
        <w:pStyle w:val="CommentText"/>
      </w:pPr>
      <w:r>
        <w:rPr>
          <w:rStyle w:val="CommentReference"/>
        </w:rPr>
        <w:annotationRef/>
      </w:r>
      <w:r>
        <w:rPr>
          <w:rStyle w:val="CommentReference"/>
        </w:rPr>
        <w:t xml:space="preserve">Maybe more from Freud here to help shape and frame your argument?  </w:t>
      </w:r>
    </w:p>
  </w:comment>
  <w:comment w:id="12" w:author="Mark Patterson" w:date="2019-04-26T13:53:00Z" w:initials="MP">
    <w:p w14:paraId="17E45C98" w14:textId="5A385C46" w:rsidR="002D1729" w:rsidRDefault="002D1729">
      <w:pPr>
        <w:pStyle w:val="CommentText"/>
      </w:pPr>
      <w:r>
        <w:rPr>
          <w:rStyle w:val="CommentReference"/>
        </w:rPr>
        <w:annotationRef/>
      </w:r>
      <w:r>
        <w:t>Good.</w:t>
      </w:r>
    </w:p>
  </w:comment>
  <w:comment w:id="13" w:author="Mark Patterson" w:date="2019-04-26T13:54:00Z" w:initials="MP">
    <w:p w14:paraId="281DA376" w14:textId="27C7788C" w:rsidR="002D1729" w:rsidRPr="001E68AF" w:rsidRDefault="002D1729">
      <w:pPr>
        <w:pStyle w:val="CommentText"/>
      </w:pPr>
      <w:r>
        <w:rPr>
          <w:rStyle w:val="CommentReference"/>
        </w:rPr>
        <w:annotationRef/>
      </w:r>
      <w:r>
        <w:t xml:space="preserve">A good point, but one that you can develop.  If the fetish is created through </w:t>
      </w:r>
      <w:r>
        <w:rPr>
          <w:i/>
        </w:rPr>
        <w:t>disavowal</w:t>
      </w:r>
      <w:r>
        <w:t>, then how is it uncreated—that is, how does it lose its power?  Make your argument about the fetish’s loss of power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8C30C9" w15:done="0"/>
  <w15:commentEx w15:paraId="0BF5E1A2" w15:done="0"/>
  <w15:commentEx w15:paraId="491FF91A" w15:done="0"/>
  <w15:commentEx w15:paraId="017F9606" w15:done="0"/>
  <w15:commentEx w15:paraId="565D2B3B" w15:done="0"/>
  <w15:commentEx w15:paraId="15170FF6" w15:done="0"/>
  <w15:commentEx w15:paraId="3DFE99D2" w15:done="0"/>
  <w15:commentEx w15:paraId="1145CD8F" w15:done="0"/>
  <w15:commentEx w15:paraId="51EA850E" w15:done="0"/>
  <w15:commentEx w15:paraId="0A750DFC" w15:done="0"/>
  <w15:commentEx w15:paraId="3F38D327" w15:done="0"/>
  <w15:commentEx w15:paraId="17E45C98" w15:done="0"/>
  <w15:commentEx w15:paraId="281DA3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8C30C9" w16cid:durableId="206D896D"/>
  <w16cid:commentId w16cid:paraId="0BF5E1A2" w16cid:durableId="206D8982"/>
  <w16cid:commentId w16cid:paraId="491FF91A" w16cid:durableId="206D89AA"/>
  <w16cid:commentId w16cid:paraId="017F9606" w16cid:durableId="206D89FC"/>
  <w16cid:commentId w16cid:paraId="565D2B3B" w16cid:durableId="206D8A1A"/>
  <w16cid:commentId w16cid:paraId="15170FF6" w16cid:durableId="206D8A63"/>
  <w16cid:commentId w16cid:paraId="3DFE99D2" w16cid:durableId="206D8ACA"/>
  <w16cid:commentId w16cid:paraId="1145CD8F" w16cid:durableId="206D8B00"/>
  <w16cid:commentId w16cid:paraId="51EA850E" w16cid:durableId="206D8B41"/>
  <w16cid:commentId w16cid:paraId="0A750DFC" w16cid:durableId="206D8B6C"/>
  <w16cid:commentId w16cid:paraId="3F38D327" w16cid:durableId="206D8BE9"/>
  <w16cid:commentId w16cid:paraId="17E45C98" w16cid:durableId="206D8BC3"/>
  <w16cid:commentId w16cid:paraId="281DA376" w16cid:durableId="206D8C2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C4C79" w14:textId="77777777" w:rsidR="002D1729" w:rsidRDefault="002D1729" w:rsidP="00F95DAE">
      <w:r>
        <w:separator/>
      </w:r>
    </w:p>
  </w:endnote>
  <w:endnote w:type="continuationSeparator" w:id="0">
    <w:p w14:paraId="5262E6AB" w14:textId="77777777" w:rsidR="002D1729" w:rsidRDefault="002D1729" w:rsidP="00F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40690" w14:textId="77777777" w:rsidR="002D1729" w:rsidRDefault="002D1729" w:rsidP="00F95DAE">
      <w:r>
        <w:separator/>
      </w:r>
    </w:p>
  </w:footnote>
  <w:footnote w:type="continuationSeparator" w:id="0">
    <w:p w14:paraId="42B28CBB" w14:textId="77777777" w:rsidR="002D1729" w:rsidRDefault="002D1729" w:rsidP="00F95D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27636" w14:textId="77777777" w:rsidR="002D1729" w:rsidRDefault="002D1729" w:rsidP="00F95DAE">
    <w:pPr>
      <w:pStyle w:val="Header"/>
      <w:jc w:val="right"/>
      <w:rPr>
        <w:rFonts w:ascii="Times New Roman" w:hAnsi="Times New Roman"/>
      </w:rPr>
    </w:pPr>
    <w:r>
      <w:rPr>
        <w:rFonts w:ascii="Times New Roman" w:hAnsi="Times New Roman"/>
      </w:rPr>
      <w:t>Zoë Mertz</w:t>
    </w:r>
  </w:p>
  <w:p w14:paraId="1F6DFEBD" w14:textId="77777777" w:rsidR="002D1729" w:rsidRDefault="002D1729" w:rsidP="00F95DAE">
    <w:pPr>
      <w:pStyle w:val="Header"/>
      <w:jc w:val="right"/>
      <w:rPr>
        <w:rFonts w:ascii="Times New Roman" w:hAnsi="Times New Roman"/>
      </w:rPr>
    </w:pPr>
    <w:r>
      <w:rPr>
        <w:rFonts w:ascii="Times New Roman" w:hAnsi="Times New Roman"/>
      </w:rPr>
      <w:t>April 23, 2019</w:t>
    </w:r>
  </w:p>
  <w:p w14:paraId="59D25BB8" w14:textId="77777777" w:rsidR="002D1729" w:rsidRDefault="002D1729" w:rsidP="00F95DAE">
    <w:pPr>
      <w:pStyle w:val="Header"/>
      <w:jc w:val="right"/>
      <w:rPr>
        <w:rFonts w:ascii="Times New Roman" w:hAnsi="Times New Roman"/>
      </w:rPr>
    </w:pPr>
    <w:r>
      <w:rPr>
        <w:rFonts w:ascii="Times New Roman" w:hAnsi="Times New Roman"/>
      </w:rPr>
      <w:t>English 302 – Prof. Patterson</w:t>
    </w:r>
  </w:p>
  <w:p w14:paraId="7615917C" w14:textId="77777777" w:rsidR="002D1729" w:rsidRPr="00F95DAE" w:rsidRDefault="002D1729" w:rsidP="00F95DAE">
    <w:pPr>
      <w:pStyle w:val="Header"/>
      <w:jc w:val="center"/>
      <w:rPr>
        <w:rFonts w:ascii="Times New Roman" w:hAnsi="Times New Roman"/>
      </w:rPr>
    </w:pPr>
    <w:r>
      <w:rPr>
        <w:rFonts w:ascii="Times New Roman" w:hAnsi="Times New Roman"/>
      </w:rP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atterson">
    <w15:presenceInfo w15:providerId="Windows Live" w15:userId="790474ffe004af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DAE"/>
    <w:rsid w:val="000648B6"/>
    <w:rsid w:val="000D19EC"/>
    <w:rsid w:val="000E22BD"/>
    <w:rsid w:val="000F77A7"/>
    <w:rsid w:val="0012227B"/>
    <w:rsid w:val="00137C53"/>
    <w:rsid w:val="001E68AF"/>
    <w:rsid w:val="002818C9"/>
    <w:rsid w:val="002D1729"/>
    <w:rsid w:val="003300B2"/>
    <w:rsid w:val="004053EC"/>
    <w:rsid w:val="00423C05"/>
    <w:rsid w:val="0047487A"/>
    <w:rsid w:val="004C02B6"/>
    <w:rsid w:val="004F72DF"/>
    <w:rsid w:val="0053463E"/>
    <w:rsid w:val="005F4D21"/>
    <w:rsid w:val="006B3EA1"/>
    <w:rsid w:val="007341C0"/>
    <w:rsid w:val="0074214C"/>
    <w:rsid w:val="007906B3"/>
    <w:rsid w:val="0085105A"/>
    <w:rsid w:val="008B0A15"/>
    <w:rsid w:val="008D5290"/>
    <w:rsid w:val="008F4D8B"/>
    <w:rsid w:val="0090359F"/>
    <w:rsid w:val="00966072"/>
    <w:rsid w:val="009A0E04"/>
    <w:rsid w:val="009B4D0D"/>
    <w:rsid w:val="00A10B86"/>
    <w:rsid w:val="00A30173"/>
    <w:rsid w:val="00A3393A"/>
    <w:rsid w:val="00AC4C4A"/>
    <w:rsid w:val="00BD2FF9"/>
    <w:rsid w:val="00C51E0B"/>
    <w:rsid w:val="00C65402"/>
    <w:rsid w:val="00C67D48"/>
    <w:rsid w:val="00CF7AC1"/>
    <w:rsid w:val="00D23A56"/>
    <w:rsid w:val="00D426E2"/>
    <w:rsid w:val="00DB44EC"/>
    <w:rsid w:val="00DE7834"/>
    <w:rsid w:val="00E5232B"/>
    <w:rsid w:val="00F32CB7"/>
    <w:rsid w:val="00F338B7"/>
    <w:rsid w:val="00F95DAE"/>
    <w:rsid w:val="00FD47B4"/>
    <w:rsid w:val="00FE041D"/>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91CE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E"/>
    <w:pPr>
      <w:tabs>
        <w:tab w:val="center" w:pos="4419"/>
        <w:tab w:val="right" w:pos="8838"/>
      </w:tabs>
      <w:snapToGrid w:val="0"/>
    </w:pPr>
  </w:style>
  <w:style w:type="character" w:customStyle="1" w:styleId="HeaderChar">
    <w:name w:val="Header Char"/>
    <w:basedOn w:val="DefaultParagraphFont"/>
    <w:link w:val="Header"/>
    <w:uiPriority w:val="99"/>
    <w:rsid w:val="00F95DAE"/>
  </w:style>
  <w:style w:type="paragraph" w:styleId="Footer">
    <w:name w:val="footer"/>
    <w:basedOn w:val="Normal"/>
    <w:link w:val="FooterChar"/>
    <w:uiPriority w:val="99"/>
    <w:unhideWhenUsed/>
    <w:rsid w:val="00F95DAE"/>
    <w:pPr>
      <w:tabs>
        <w:tab w:val="center" w:pos="4419"/>
        <w:tab w:val="right" w:pos="8838"/>
      </w:tabs>
      <w:snapToGrid w:val="0"/>
    </w:pPr>
  </w:style>
  <w:style w:type="character" w:customStyle="1" w:styleId="FooterChar">
    <w:name w:val="Footer Char"/>
    <w:basedOn w:val="DefaultParagraphFont"/>
    <w:link w:val="Footer"/>
    <w:uiPriority w:val="99"/>
    <w:rsid w:val="00F95DAE"/>
  </w:style>
  <w:style w:type="character" w:styleId="CommentReference">
    <w:name w:val="annotation reference"/>
    <w:basedOn w:val="DefaultParagraphFont"/>
    <w:uiPriority w:val="99"/>
    <w:semiHidden/>
    <w:unhideWhenUsed/>
    <w:rsid w:val="00BD2FF9"/>
    <w:rPr>
      <w:sz w:val="16"/>
      <w:szCs w:val="16"/>
    </w:rPr>
  </w:style>
  <w:style w:type="paragraph" w:styleId="CommentText">
    <w:name w:val="annotation text"/>
    <w:basedOn w:val="Normal"/>
    <w:link w:val="CommentTextChar"/>
    <w:uiPriority w:val="99"/>
    <w:semiHidden/>
    <w:unhideWhenUsed/>
    <w:rsid w:val="00BD2FF9"/>
    <w:rPr>
      <w:sz w:val="20"/>
      <w:szCs w:val="20"/>
    </w:rPr>
  </w:style>
  <w:style w:type="character" w:customStyle="1" w:styleId="CommentTextChar">
    <w:name w:val="Comment Text Char"/>
    <w:basedOn w:val="DefaultParagraphFont"/>
    <w:link w:val="CommentText"/>
    <w:uiPriority w:val="99"/>
    <w:semiHidden/>
    <w:rsid w:val="00BD2FF9"/>
    <w:rPr>
      <w:sz w:val="20"/>
      <w:szCs w:val="20"/>
    </w:rPr>
  </w:style>
  <w:style w:type="paragraph" w:styleId="CommentSubject">
    <w:name w:val="annotation subject"/>
    <w:basedOn w:val="CommentText"/>
    <w:next w:val="CommentText"/>
    <w:link w:val="CommentSubjectChar"/>
    <w:uiPriority w:val="99"/>
    <w:semiHidden/>
    <w:unhideWhenUsed/>
    <w:rsid w:val="00BD2FF9"/>
    <w:rPr>
      <w:b/>
      <w:bCs/>
    </w:rPr>
  </w:style>
  <w:style w:type="character" w:customStyle="1" w:styleId="CommentSubjectChar">
    <w:name w:val="Comment Subject Char"/>
    <w:basedOn w:val="CommentTextChar"/>
    <w:link w:val="CommentSubject"/>
    <w:uiPriority w:val="99"/>
    <w:semiHidden/>
    <w:rsid w:val="00BD2FF9"/>
    <w:rPr>
      <w:b/>
      <w:bCs/>
      <w:sz w:val="20"/>
      <w:szCs w:val="20"/>
    </w:rPr>
  </w:style>
  <w:style w:type="paragraph" w:styleId="BalloonText">
    <w:name w:val="Balloon Text"/>
    <w:basedOn w:val="Normal"/>
    <w:link w:val="BalloonTextChar"/>
    <w:uiPriority w:val="99"/>
    <w:semiHidden/>
    <w:unhideWhenUsed/>
    <w:rsid w:val="00BD2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F9"/>
    <w:rPr>
      <w:rFonts w:ascii="Segoe UI" w:hAnsi="Segoe UI" w:cs="Segoe UI"/>
      <w:sz w:val="18"/>
      <w:szCs w:val="18"/>
    </w:rPr>
  </w:style>
  <w:style w:type="table" w:styleId="TableGrid">
    <w:name w:val="Table Grid"/>
    <w:basedOn w:val="TableNormal"/>
    <w:uiPriority w:val="39"/>
    <w:rsid w:val="001E68AF"/>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DAE"/>
    <w:pPr>
      <w:tabs>
        <w:tab w:val="center" w:pos="4419"/>
        <w:tab w:val="right" w:pos="8838"/>
      </w:tabs>
      <w:snapToGrid w:val="0"/>
    </w:pPr>
  </w:style>
  <w:style w:type="character" w:customStyle="1" w:styleId="HeaderChar">
    <w:name w:val="Header Char"/>
    <w:basedOn w:val="DefaultParagraphFont"/>
    <w:link w:val="Header"/>
    <w:uiPriority w:val="99"/>
    <w:rsid w:val="00F95DAE"/>
  </w:style>
  <w:style w:type="paragraph" w:styleId="Footer">
    <w:name w:val="footer"/>
    <w:basedOn w:val="Normal"/>
    <w:link w:val="FooterChar"/>
    <w:uiPriority w:val="99"/>
    <w:unhideWhenUsed/>
    <w:rsid w:val="00F95DAE"/>
    <w:pPr>
      <w:tabs>
        <w:tab w:val="center" w:pos="4419"/>
        <w:tab w:val="right" w:pos="8838"/>
      </w:tabs>
      <w:snapToGrid w:val="0"/>
    </w:pPr>
  </w:style>
  <w:style w:type="character" w:customStyle="1" w:styleId="FooterChar">
    <w:name w:val="Footer Char"/>
    <w:basedOn w:val="DefaultParagraphFont"/>
    <w:link w:val="Footer"/>
    <w:uiPriority w:val="99"/>
    <w:rsid w:val="00F95DAE"/>
  </w:style>
  <w:style w:type="character" w:styleId="CommentReference">
    <w:name w:val="annotation reference"/>
    <w:basedOn w:val="DefaultParagraphFont"/>
    <w:uiPriority w:val="99"/>
    <w:semiHidden/>
    <w:unhideWhenUsed/>
    <w:rsid w:val="00BD2FF9"/>
    <w:rPr>
      <w:sz w:val="16"/>
      <w:szCs w:val="16"/>
    </w:rPr>
  </w:style>
  <w:style w:type="paragraph" w:styleId="CommentText">
    <w:name w:val="annotation text"/>
    <w:basedOn w:val="Normal"/>
    <w:link w:val="CommentTextChar"/>
    <w:uiPriority w:val="99"/>
    <w:semiHidden/>
    <w:unhideWhenUsed/>
    <w:rsid w:val="00BD2FF9"/>
    <w:rPr>
      <w:sz w:val="20"/>
      <w:szCs w:val="20"/>
    </w:rPr>
  </w:style>
  <w:style w:type="character" w:customStyle="1" w:styleId="CommentTextChar">
    <w:name w:val="Comment Text Char"/>
    <w:basedOn w:val="DefaultParagraphFont"/>
    <w:link w:val="CommentText"/>
    <w:uiPriority w:val="99"/>
    <w:semiHidden/>
    <w:rsid w:val="00BD2FF9"/>
    <w:rPr>
      <w:sz w:val="20"/>
      <w:szCs w:val="20"/>
    </w:rPr>
  </w:style>
  <w:style w:type="paragraph" w:styleId="CommentSubject">
    <w:name w:val="annotation subject"/>
    <w:basedOn w:val="CommentText"/>
    <w:next w:val="CommentText"/>
    <w:link w:val="CommentSubjectChar"/>
    <w:uiPriority w:val="99"/>
    <w:semiHidden/>
    <w:unhideWhenUsed/>
    <w:rsid w:val="00BD2FF9"/>
    <w:rPr>
      <w:b/>
      <w:bCs/>
    </w:rPr>
  </w:style>
  <w:style w:type="character" w:customStyle="1" w:styleId="CommentSubjectChar">
    <w:name w:val="Comment Subject Char"/>
    <w:basedOn w:val="CommentTextChar"/>
    <w:link w:val="CommentSubject"/>
    <w:uiPriority w:val="99"/>
    <w:semiHidden/>
    <w:rsid w:val="00BD2FF9"/>
    <w:rPr>
      <w:b/>
      <w:bCs/>
      <w:sz w:val="20"/>
      <w:szCs w:val="20"/>
    </w:rPr>
  </w:style>
  <w:style w:type="paragraph" w:styleId="BalloonText">
    <w:name w:val="Balloon Text"/>
    <w:basedOn w:val="Normal"/>
    <w:link w:val="BalloonTextChar"/>
    <w:uiPriority w:val="99"/>
    <w:semiHidden/>
    <w:unhideWhenUsed/>
    <w:rsid w:val="00BD2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FF9"/>
    <w:rPr>
      <w:rFonts w:ascii="Segoe UI" w:hAnsi="Segoe UI" w:cs="Segoe UI"/>
      <w:sz w:val="18"/>
      <w:szCs w:val="18"/>
    </w:rPr>
  </w:style>
  <w:style w:type="table" w:styleId="TableGrid">
    <w:name w:val="Table Grid"/>
    <w:basedOn w:val="TableNormal"/>
    <w:uiPriority w:val="39"/>
    <w:rsid w:val="001E68AF"/>
    <w:rPr>
      <w:rFonts w:ascii="Times New Roman" w:eastAsiaTheme="minorHAns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microsoft.com/office/2011/relationships/commentsExtended" Target="commentsExtended.xml"/><Relationship Id="rId13" Type="http://schemas.microsoft.com/office/2016/09/relationships/commentsIds" Target="commentsId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1450</Words>
  <Characters>8269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4</cp:revision>
  <dcterms:created xsi:type="dcterms:W3CDTF">2019-04-29T23:17:00Z</dcterms:created>
  <dcterms:modified xsi:type="dcterms:W3CDTF">2019-05-02T05:33:00Z</dcterms:modified>
</cp:coreProperties>
</file>